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er"/>
        <w:tabs>
          <w:tab w:val="center" w:pos="4536" w:leader="none"/>
          <w:tab w:val="right" w:pos="8904" w:leader="none"/>
          <w:tab w:val="right" w:pos="9072" w:leader="none"/>
        </w:tabs>
        <w:spacing w:lineRule="auto" w:line="240"/>
        <w:ind w:start="142"/>
        <w:rPr>
          <w:rFonts w:ascii="Arial" w:hAnsi="Arial" w:cs="Arial"/>
          <w:b/>
          <w:bCs/>
          <w:sz w:val="16"/>
          <w:szCs w:val="16"/>
        </w:rPr>
      </w:pPr>
      <w:r>
        <w:rPr>
          <w:rFonts w:cs="Arial" w:ascii="Arial" w:hAnsi="Arial"/>
          <w:b/>
          <w:bCs/>
          <w:sz w:val="16"/>
          <w:szCs w:val="16"/>
        </w:rPr>
      </w:r>
    </w:p>
    <w:p>
      <w:pPr>
        <w:pStyle w:val="Normal"/>
        <w:spacing w:lineRule="exact" w:line="8"/>
        <w:jc w:val="both"/>
        <w:rPr>
          <w:rFonts w:ascii="Times New Roman" w:hAnsi="Times New Roman" w:eastAsia="Times New Roman" w:cs="Times New Roman"/>
          <w:color w:val="auto"/>
          <w:sz w:val="24"/>
        </w:rPr>
      </w:pPr>
      <w:r>
        <w:rPr>
          <w:rFonts w:eastAsia="Times New Roman" w:cs="Times New Roman" w:ascii="Times New Roman" w:hAnsi="Times New Roman"/>
          <w:color w:val="auto"/>
          <w:sz w:val="24"/>
        </w:rPr>
      </w:r>
    </w:p>
    <w:p>
      <w:pPr>
        <w:pStyle w:val="Normal"/>
        <w:spacing w:lineRule="atLeast" w:line="0"/>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r>
    </w:p>
    <w:p>
      <w:pPr>
        <w:pStyle w:val="Normal"/>
        <w:spacing w:lineRule="atLeast" w:line="0"/>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t>STWiOR – 00</w:t>
      </w:r>
    </w:p>
    <w:p>
      <w:pPr>
        <w:pStyle w:val="Normal"/>
        <w:spacing w:lineRule="exact" w:line="41"/>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r>
    </w:p>
    <w:p>
      <w:pPr>
        <w:pStyle w:val="Normal"/>
        <w:spacing w:lineRule="atLeast" w:line="0"/>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t>OGÓLNA SPECYFIKACJA</w:t>
      </w:r>
    </w:p>
    <w:p>
      <w:pPr>
        <w:pStyle w:val="Normal"/>
        <w:spacing w:lineRule="exact" w:line="41"/>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r>
    </w:p>
    <w:p>
      <w:pPr>
        <w:pStyle w:val="Normal"/>
        <w:spacing w:lineRule="atLeast" w:line="0"/>
        <w:ind w:end="20"/>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t>TECHNICZNA WYKONANIA I ODBIORU ROBÓT BUDOWLANYCH</w:t>
      </w:r>
    </w:p>
    <w:p>
      <w:pPr>
        <w:pStyle w:val="Normal"/>
        <w:spacing w:lineRule="exact" w:line="294"/>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r>
    </w:p>
    <w:p>
      <w:pPr>
        <w:pStyle w:val="Normal"/>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r>
    </w:p>
    <w:p>
      <w:pPr>
        <w:pStyle w:val="Normal"/>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r>
    </w:p>
    <w:p>
      <w:pPr>
        <w:pStyle w:val="Normal"/>
        <w:jc w:val="center"/>
        <w:rPr>
          <w:rFonts w:ascii="Times New Roman" w:hAnsi="Times New Roman" w:eastAsia="Times New Roman" w:cs="Times New Roman"/>
          <w:b/>
          <w:color w:val="auto"/>
          <w:sz w:val="24"/>
          <w:u w:val="single"/>
        </w:rPr>
      </w:pPr>
      <w:r>
        <w:rPr>
          <w:rFonts w:eastAsia="Times New Roman" w:cs="Times New Roman" w:ascii="Times New Roman" w:hAnsi="Times New Roman"/>
          <w:b/>
          <w:color w:val="auto"/>
          <w:sz w:val="24"/>
          <w:u w:val="single"/>
        </w:rPr>
      </w:r>
    </w:p>
    <w:p>
      <w:pPr>
        <w:pStyle w:val="Normal"/>
        <w:jc w:val="center"/>
        <w:rPr>
          <w:rFonts w:ascii="Times New Roman" w:hAnsi="Times New Roman" w:eastAsia="Times New Roman" w:cs="Times New Roman"/>
          <w:b/>
          <w:bCs/>
          <w:color w:val="auto"/>
          <w:sz w:val="28"/>
          <w:szCs w:val="28"/>
        </w:rPr>
      </w:pPr>
      <w:r>
        <w:rPr>
          <w:rFonts w:eastAsia="Times New Roman" w:cs="Times New Roman" w:ascii="Times New Roman" w:hAnsi="Times New Roman"/>
          <w:b/>
          <w:bCs/>
          <w:color w:val="auto"/>
          <w:sz w:val="28"/>
          <w:szCs w:val="28"/>
        </w:rPr>
        <w:t>Remont hydroforni, modernizacja instalacji z wymianą zbiorników buforowych i renowacją zbiorników wody pitnej dla  Świętokrzyskiego Centrum Onkologii w Kielcach</w:t>
      </w:r>
    </w:p>
    <w:p>
      <w:pPr>
        <w:pStyle w:val="Normal"/>
        <w:jc w:val="center"/>
        <w:rPr>
          <w:rFonts w:ascii="Times New Roman" w:hAnsi="Times New Roman" w:eastAsia="Times New Roman" w:cs="Times New Roman"/>
          <w:b/>
          <w:bCs/>
          <w:color w:val="auto"/>
          <w:sz w:val="28"/>
          <w:szCs w:val="28"/>
        </w:rPr>
      </w:pPr>
      <w:r>
        <w:rPr>
          <w:rFonts w:eastAsia="Times New Roman" w:cs="Times New Roman" w:ascii="Times New Roman" w:hAnsi="Times New Roman"/>
          <w:b/>
          <w:bCs/>
          <w:color w:val="auto"/>
          <w:sz w:val="28"/>
          <w:szCs w:val="28"/>
        </w:rPr>
      </w:r>
    </w:p>
    <w:p>
      <w:pPr>
        <w:pStyle w:val="Normal"/>
        <w:jc w:val="center"/>
        <w:rPr>
          <w:rFonts w:ascii="Times New Roman" w:hAnsi="Times New Roman" w:eastAsia="Times New Roman" w:cs="Times New Roman"/>
          <w:b/>
          <w:bCs/>
          <w:color w:val="auto"/>
          <w:sz w:val="28"/>
          <w:szCs w:val="28"/>
        </w:rPr>
      </w:pPr>
      <w:r>
        <w:rPr>
          <w:rFonts w:eastAsia="Times New Roman" w:cs="Times New Roman" w:ascii="Times New Roman" w:hAnsi="Times New Roman"/>
          <w:b/>
          <w:bCs/>
          <w:color w:val="auto"/>
          <w:sz w:val="28"/>
          <w:szCs w:val="28"/>
        </w:rPr>
      </w:r>
      <w:bookmarkStart w:id="0" w:name="_Hlk136768253"/>
      <w:bookmarkStart w:id="1" w:name="_Hlk136768253"/>
      <w:bookmarkEnd w:id="1"/>
    </w:p>
    <w:p>
      <w:pPr>
        <w:pStyle w:val="Normal"/>
        <w:spacing w:lineRule="exact" w:line="327"/>
        <w:jc w:val="center"/>
        <w:rPr>
          <w:rFonts w:cs="Times New Roman"/>
          <w:b/>
          <w:bCs/>
          <w:color w:val="auto"/>
          <w:sz w:val="26"/>
          <w:szCs w:val="22"/>
        </w:rPr>
      </w:pPr>
      <w:r>
        <w:rPr>
          <w:rFonts w:eastAsia="Times New Roman" w:cs="Times New Roman" w:ascii="Times New Roman" w:hAnsi="Times New Roman"/>
          <w:b/>
          <w:bCs/>
          <w:color w:val="auto"/>
          <w:sz w:val="24"/>
          <w:szCs w:val="24"/>
        </w:rPr>
        <w:t>BRANŻA SANITARNA</w:t>
      </w:r>
    </w:p>
    <w:p>
      <w:pPr>
        <w:pStyle w:val="BodyText"/>
        <w:spacing w:before="0" w:after="0"/>
        <w:rPr>
          <w:rFonts w:cs="Times New Roman"/>
          <w:b/>
          <w:bCs/>
          <w:color w:val="auto"/>
          <w:sz w:val="26"/>
          <w:szCs w:val="22"/>
        </w:rPr>
      </w:pPr>
      <w:r>
        <w:rPr>
          <w:rFonts w:cs="Times New Roman"/>
          <w:b/>
          <w:bCs/>
          <w:color w:val="auto"/>
          <w:sz w:val="26"/>
          <w:szCs w:val="22"/>
        </w:rPr>
      </w:r>
    </w:p>
    <w:p>
      <w:pPr>
        <w:pStyle w:val="BodyText"/>
        <w:spacing w:lineRule="auto" w:line="276" w:before="0" w:after="0"/>
        <w:jc w:val="center"/>
        <w:rPr>
          <w:rFonts w:cs="Times New Roman"/>
          <w:b/>
          <w:bCs/>
          <w:color w:val="auto"/>
          <w:sz w:val="26"/>
          <w:szCs w:val="22"/>
        </w:rPr>
      </w:pPr>
      <w:r>
        <w:rPr>
          <w:rFonts w:cs="Times New Roman"/>
          <w:b/>
          <w:bCs/>
          <w:color w:val="auto"/>
          <w:sz w:val="26"/>
          <w:szCs w:val="22"/>
        </w:rPr>
      </w:r>
    </w:p>
    <w:p>
      <w:pPr>
        <w:pStyle w:val="BodyText"/>
        <w:spacing w:lineRule="auto" w:line="276" w:before="0" w:after="0"/>
        <w:jc w:val="center"/>
        <w:rPr>
          <w:rFonts w:ascii="Times New Roman" w:hAnsi="Times New Roman" w:cs="Times New Roman"/>
          <w:b/>
          <w:bCs/>
          <w:color w:val="auto"/>
          <w:sz w:val="22"/>
          <w:szCs w:val="22"/>
        </w:rPr>
      </w:pPr>
      <w:r>
        <w:rPr>
          <w:rFonts w:cs="Times New Roman"/>
          <w:color w:val="auto"/>
          <w:sz w:val="26"/>
        </w:rPr>
        <w:t>ZAMAWIAJĄCY:</w:t>
      </w:r>
    </w:p>
    <w:p>
      <w:pPr>
        <w:pStyle w:val="Normal"/>
        <w:jc w:val="center"/>
        <w:rPr>
          <w:rFonts w:ascii="Times New Roman" w:hAnsi="Times New Roman" w:cs="Times New Roman"/>
          <w:b/>
          <w:bCs/>
          <w:color w:val="auto"/>
          <w:sz w:val="22"/>
          <w:szCs w:val="22"/>
        </w:rPr>
      </w:pPr>
      <w:r>
        <w:rPr>
          <w:rFonts w:cs="Times New Roman" w:ascii="Times New Roman" w:hAnsi="Times New Roman"/>
          <w:b/>
          <w:bCs/>
          <w:color w:val="auto"/>
          <w:sz w:val="22"/>
          <w:szCs w:val="22"/>
        </w:rPr>
        <w:t xml:space="preserve">Świętokrzyskie Centrum Onkologii </w:t>
      </w:r>
    </w:p>
    <w:p>
      <w:pPr>
        <w:pStyle w:val="Normal"/>
        <w:jc w:val="center"/>
        <w:rPr>
          <w:rFonts w:cs="Times New Roman"/>
          <w:b/>
          <w:bCs/>
          <w:color w:val="auto"/>
          <w:kern w:val="0"/>
          <w:sz w:val="22"/>
          <w:szCs w:val="22"/>
          <w:lang w:eastAsia="pl-PL"/>
        </w:rPr>
      </w:pPr>
      <w:r>
        <w:rPr>
          <w:rFonts w:cs="Times New Roman" w:ascii="Times New Roman" w:hAnsi="Times New Roman"/>
          <w:b/>
          <w:bCs/>
          <w:color w:val="auto"/>
          <w:sz w:val="22"/>
          <w:szCs w:val="22"/>
        </w:rPr>
        <w:t xml:space="preserve">Samodzielny Publiczny Zakład Opieki Zdrowotnej </w:t>
      </w:r>
    </w:p>
    <w:p>
      <w:pPr>
        <w:pStyle w:val="BodyText"/>
        <w:spacing w:before="0" w:after="0"/>
        <w:jc w:val="center"/>
        <w:rPr>
          <w:rFonts w:cs="Times New Roman"/>
          <w:b/>
          <w:bCs/>
          <w:color w:val="auto"/>
        </w:rPr>
      </w:pPr>
      <w:r>
        <w:rPr>
          <w:rFonts w:cs="Times New Roman"/>
          <w:b/>
          <w:bCs/>
          <w:color w:val="auto"/>
          <w:kern w:val="0"/>
          <w:sz w:val="22"/>
          <w:szCs w:val="22"/>
          <w:lang w:eastAsia="pl-PL"/>
        </w:rPr>
        <w:t>ul. Stefana Artwińskiego 3, 25-734 Kielce</w:t>
      </w:r>
    </w:p>
    <w:p>
      <w:pPr>
        <w:pStyle w:val="NormalnyWeb"/>
        <w:spacing w:before="0" w:after="0"/>
        <w:rPr>
          <w:rFonts w:cs="Times New Roman"/>
          <w:b/>
          <w:bCs/>
          <w:color w:val="auto"/>
        </w:rPr>
      </w:pPr>
      <w:r>
        <w:rPr>
          <w:rFonts w:cs="Times New Roman"/>
          <w:b/>
          <w:bCs/>
          <w:color w:val="auto"/>
        </w:rPr>
      </w:r>
      <w:bookmarkStart w:id="2" w:name="_Hlk136768253_kopia_1"/>
      <w:bookmarkStart w:id="3" w:name="_Hlk136768253_kopia_1"/>
      <w:bookmarkEnd w:id="3"/>
    </w:p>
    <w:p>
      <w:pPr>
        <w:pStyle w:val="Normal"/>
        <w:spacing w:lineRule="exact" w:line="307"/>
        <w:jc w:val="both"/>
        <w:rPr>
          <w:rFonts w:ascii="Times New Roman" w:hAnsi="Times New Roman" w:eastAsia="Times New Roman" w:cs="Times New Roman"/>
          <w:b/>
          <w:bCs/>
          <w:color w:val="auto"/>
          <w:sz w:val="24"/>
        </w:rPr>
      </w:pPr>
      <w:r>
        <w:rPr>
          <w:rFonts w:eastAsia="Times New Roman" w:cs="Times New Roman" w:ascii="Times New Roman" w:hAnsi="Times New Roman"/>
          <w:b/>
          <w:bCs/>
          <w:color w:val="auto"/>
          <w:sz w:val="24"/>
        </w:rPr>
      </w:r>
    </w:p>
    <w:p>
      <w:pPr>
        <w:pStyle w:val="Normal"/>
        <w:spacing w:lineRule="auto" w:line="276"/>
        <w:ind w:start="62" w:end="0"/>
        <w:jc w:val="both"/>
        <w:rPr>
          <w:rFonts w:ascii="Times New Roman" w:hAnsi="Times New Roman" w:eastAsia="Times New Roman" w:cs="Times New Roman"/>
          <w:b/>
          <w:color w:val="auto"/>
        </w:rPr>
      </w:pPr>
      <w:r>
        <w:rPr>
          <w:rFonts w:eastAsia="Times New Roman" w:cs="Times New Roman" w:ascii="Times New Roman" w:hAnsi="Times New Roman"/>
          <w:b/>
          <w:color w:val="auto"/>
        </w:rPr>
      </w:r>
    </w:p>
    <w:p>
      <w:pPr>
        <w:pStyle w:val="Normal"/>
        <w:spacing w:lineRule="auto" w:line="276"/>
        <w:ind w:start="62" w:end="0"/>
        <w:jc w:val="both"/>
        <w:rPr>
          <w:rFonts w:ascii="Times New Roman" w:hAnsi="Times New Roman" w:eastAsia="Times New Roman" w:cs="Times New Roman"/>
          <w:b/>
          <w:color w:val="auto"/>
        </w:rPr>
      </w:pPr>
      <w:r>
        <w:rPr>
          <w:rFonts w:eastAsia="Times New Roman" w:cs="Times New Roman" w:ascii="Times New Roman" w:hAnsi="Times New Roman"/>
          <w:b/>
          <w:color w:val="auto"/>
        </w:rPr>
        <w:t xml:space="preserve">STWiOR – 00 Ogólna specyfikacja techniczna wykonania i odbioru robót budowlanych </w:t>
      </w:r>
    </w:p>
    <w:p>
      <w:pPr>
        <w:pStyle w:val="Normal"/>
        <w:spacing w:lineRule="auto" w:line="276"/>
        <w:ind w:start="62" w:end="0"/>
        <w:jc w:val="both"/>
        <w:rPr>
          <w:rFonts w:ascii="Times New Roman" w:hAnsi="Times New Roman" w:eastAsia="Times New Roman" w:cs="Times New Roman"/>
          <w:b/>
          <w:color w:val="auto"/>
          <w:sz w:val="24"/>
        </w:rPr>
      </w:pPr>
      <w:r>
        <w:rPr>
          <w:rFonts w:eastAsia="Times New Roman" w:cs="Times New Roman" w:ascii="Times New Roman" w:hAnsi="Times New Roman"/>
          <w:b/>
          <w:color w:val="auto"/>
        </w:rPr>
        <w:t xml:space="preserve">STWiOR – 01 </w:t>
      </w:r>
      <w:bookmarkStart w:id="4" w:name="_Hlk136766527"/>
      <w:r>
        <w:rPr>
          <w:rFonts w:eastAsia="Times New Roman" w:cs="Times New Roman" w:ascii="Times New Roman" w:hAnsi="Times New Roman"/>
          <w:b/>
          <w:color w:val="auto"/>
        </w:rPr>
        <w:t>I</w:t>
      </w:r>
      <w:bookmarkEnd w:id="4"/>
      <w:r>
        <w:rPr>
          <w:rFonts w:eastAsia="Times New Roman" w:cs="Times New Roman" w:ascii="Times New Roman" w:hAnsi="Times New Roman"/>
          <w:b/>
          <w:color w:val="auto"/>
        </w:rPr>
        <w:t>nstalacje sanitarne wewnętrzne i zewnętrzne</w:t>
      </w:r>
    </w:p>
    <w:p>
      <w:pPr>
        <w:pStyle w:val="Normal"/>
        <w:spacing w:lineRule="auto" w:line="276"/>
        <w:ind w:start="62" w:end="0"/>
        <w:jc w:val="both"/>
        <w:rPr>
          <w:rFonts w:ascii="Times New Roman" w:hAnsi="Times New Roman" w:eastAsia="Times New Roman" w:cs="Times New Roman"/>
          <w:b/>
          <w:color w:val="auto"/>
          <w:sz w:val="24"/>
        </w:rPr>
      </w:pPr>
      <w:r>
        <w:rPr>
          <w:rFonts w:eastAsia="Times New Roman" w:cs="Times New Roman" w:ascii="Times New Roman" w:hAnsi="Times New Roman"/>
          <w:b/>
          <w:color w:val="auto"/>
          <w:sz w:val="24"/>
        </w:rPr>
      </w:r>
    </w:p>
    <w:p>
      <w:pPr>
        <w:pStyle w:val="Normal"/>
        <w:spacing w:lineRule="atLeast" w:line="0"/>
        <w:jc w:val="both"/>
        <w:rPr>
          <w:rFonts w:ascii="Times New Roman" w:hAnsi="Times New Roman" w:eastAsia="Times New Roman" w:cs="Times New Roman"/>
          <w:b/>
          <w:color w:val="auto"/>
          <w:sz w:val="16"/>
        </w:rPr>
      </w:pPr>
      <w:r>
        <w:rPr>
          <w:rFonts w:eastAsia="Times New Roman" w:cs="Times New Roman" w:ascii="Times New Roman" w:hAnsi="Times New Roman"/>
          <w:b/>
          <w:color w:val="auto"/>
          <w:sz w:val="16"/>
        </w:rPr>
      </w:r>
    </w:p>
    <w:p>
      <w:pPr>
        <w:pStyle w:val="Normal"/>
        <w:spacing w:lineRule="atLeast" w:line="0"/>
        <w:jc w:val="both"/>
        <w:rPr>
          <w:rFonts w:ascii="Times New Roman" w:hAnsi="Times New Roman" w:eastAsia="Times New Roman" w:cs="Times New Roman"/>
          <w:b/>
          <w:color w:val="auto"/>
          <w:sz w:val="16"/>
        </w:rPr>
      </w:pPr>
      <w:r>
        <w:rPr>
          <w:rFonts w:eastAsia="Times New Roman" w:cs="Times New Roman" w:ascii="Times New Roman" w:hAnsi="Times New Roman"/>
          <w:b/>
          <w:color w:val="auto"/>
          <w:sz w:val="16"/>
        </w:rPr>
      </w:r>
    </w:p>
    <w:p>
      <w:pPr>
        <w:pStyle w:val="Normal"/>
        <w:spacing w:lineRule="atLeast" w:line="0"/>
        <w:jc w:val="both"/>
        <w:rPr>
          <w:color w:val="auto"/>
          <w:sz w:val="16"/>
        </w:rPr>
      </w:pPr>
      <w:r>
        <w:rPr>
          <w:rFonts w:eastAsia="Times New Roman" w:cs="Times New Roman" w:ascii="Times New Roman" w:hAnsi="Times New Roman"/>
          <w:b/>
          <w:color w:val="auto"/>
          <w:sz w:val="16"/>
        </w:rPr>
        <w:t>KODY CPV</w:t>
      </w:r>
    </w:p>
    <w:p>
      <w:pPr>
        <w:pStyle w:val="Normal"/>
        <w:tabs>
          <w:tab w:val="clear" w:pos="720"/>
          <w:tab w:val="left" w:pos="1400" w:leader="none"/>
        </w:tabs>
        <w:spacing w:lineRule="atLeast" w:line="0"/>
        <w:rPr>
          <w:color w:val="auto"/>
        </w:rPr>
      </w:pPr>
      <w:r>
        <w:rPr>
          <w:color w:val="auto"/>
          <w:sz w:val="16"/>
        </w:rPr>
        <w:t xml:space="preserve">45000000-7 </w:t>
        <w:tab/>
        <w:t>- Roboty budowlane</w:t>
      </w:r>
    </w:p>
    <w:p>
      <w:pPr>
        <w:pStyle w:val="Normal"/>
        <w:tabs>
          <w:tab w:val="clear" w:pos="720"/>
          <w:tab w:val="left" w:pos="1400" w:leader="none"/>
        </w:tabs>
        <w:spacing w:lineRule="atLeast" w:line="0"/>
        <w:rPr>
          <w:color w:val="auto"/>
        </w:rPr>
      </w:pPr>
      <w:r>
        <w:rPr>
          <w:color w:val="auto"/>
          <w:sz w:val="16"/>
        </w:rPr>
        <w:t>45300000-0</w:t>
        <w:tab/>
        <w:t>- Roboty instalacyjne w budynkach</w:t>
      </w:r>
    </w:p>
    <w:p>
      <w:pPr>
        <w:pStyle w:val="Normal"/>
        <w:tabs>
          <w:tab w:val="clear" w:pos="720"/>
          <w:tab w:val="left" w:pos="1400" w:leader="none"/>
        </w:tabs>
        <w:spacing w:lineRule="atLeast" w:line="0"/>
        <w:rPr>
          <w:color w:val="auto"/>
        </w:rPr>
      </w:pPr>
      <w:r>
        <w:rPr>
          <w:color w:val="auto"/>
          <w:sz w:val="16"/>
        </w:rPr>
        <w:t>45320000-6</w:t>
        <w:tab/>
        <w:t>- Roboty izolacyjne</w:t>
      </w:r>
    </w:p>
    <w:p>
      <w:pPr>
        <w:pStyle w:val="Normal"/>
        <w:tabs>
          <w:tab w:val="clear" w:pos="720"/>
          <w:tab w:val="left" w:pos="1400" w:leader="none"/>
        </w:tabs>
        <w:spacing w:lineRule="atLeast" w:line="0"/>
        <w:rPr>
          <w:color w:val="auto"/>
        </w:rPr>
      </w:pPr>
      <w:r>
        <w:rPr>
          <w:color w:val="auto"/>
          <w:sz w:val="16"/>
        </w:rPr>
        <w:t>45330000-9</w:t>
        <w:tab/>
        <w:t xml:space="preserve">- Roboty instalacyjne wodno-kanalizacyjne </w:t>
      </w:r>
    </w:p>
    <w:p>
      <w:pPr>
        <w:pStyle w:val="Normal"/>
        <w:tabs>
          <w:tab w:val="clear" w:pos="720"/>
          <w:tab w:val="left" w:pos="1400" w:leader="none"/>
        </w:tabs>
        <w:spacing w:lineRule="atLeast" w:line="0"/>
        <w:rPr>
          <w:color w:val="auto"/>
        </w:rPr>
      </w:pPr>
      <w:r>
        <w:rPr>
          <w:color w:val="auto"/>
          <w:sz w:val="16"/>
        </w:rPr>
        <w:t xml:space="preserve">45331000-6 </w:t>
        <w:tab/>
        <w:t>- Instalowanie urządzeń grzewczych, wentylacyjnych i klimatyzacyjnych</w:t>
      </w:r>
    </w:p>
    <w:p>
      <w:pPr>
        <w:pStyle w:val="Normal"/>
        <w:tabs>
          <w:tab w:val="clear" w:pos="720"/>
          <w:tab w:val="left" w:pos="1400" w:leader="none"/>
        </w:tabs>
        <w:spacing w:lineRule="atLeast" w:line="0"/>
        <w:rPr>
          <w:color w:val="auto"/>
        </w:rPr>
      </w:pPr>
      <w:r>
        <w:rPr>
          <w:color w:val="auto"/>
          <w:sz w:val="16"/>
        </w:rPr>
        <w:t xml:space="preserve">45332000-3 </w:t>
        <w:tab/>
        <w:t>- Roboty instalacyjne wodne i kanalizacyjne</w:t>
      </w:r>
    </w:p>
    <w:p>
      <w:pPr>
        <w:pStyle w:val="Normal"/>
        <w:tabs>
          <w:tab w:val="clear" w:pos="720"/>
          <w:tab w:val="left" w:pos="1400" w:leader="none"/>
        </w:tabs>
        <w:spacing w:lineRule="atLeast" w:line="0"/>
        <w:rPr>
          <w:sz w:val="16"/>
        </w:rPr>
      </w:pPr>
      <w:r>
        <w:rPr>
          <w:sz w:val="16"/>
        </w:rPr>
        <w:t xml:space="preserve">45231300-8 </w:t>
        <w:tab/>
        <w:t>- Roboty budowlane w zakresie budowy wodociągów i rurociągów do odprowadzania ścieków</w:t>
      </w:r>
    </w:p>
    <w:p>
      <w:pPr>
        <w:pStyle w:val="Normal"/>
        <w:tabs>
          <w:tab w:val="clear" w:pos="720"/>
          <w:tab w:val="left" w:pos="1400" w:leader="none"/>
        </w:tabs>
        <w:spacing w:lineRule="atLeast" w:line="0"/>
        <w:rPr>
          <w:sz w:val="16"/>
        </w:rPr>
      </w:pPr>
      <w:r>
        <w:rPr>
          <w:sz w:val="16"/>
        </w:rPr>
      </w:r>
    </w:p>
    <w:p>
      <w:pPr>
        <w:pStyle w:val="Normal"/>
        <w:spacing w:lineRule="auto" w:line="228"/>
        <w:jc w:val="both"/>
        <w:rPr>
          <w:rFonts w:ascii="Times New Roman" w:hAnsi="Times New Roman" w:eastAsia="Times New Roman" w:cs="Times New Roman"/>
          <w:color w:val="auto"/>
          <w:sz w:val="24"/>
        </w:rPr>
      </w:pPr>
      <w:r>
        <w:rPr>
          <w:rFonts w:eastAsia="Times New Roman" w:cs="Times New Roman" w:ascii="Times New Roman" w:hAnsi="Times New Roman"/>
          <w:color w:val="auto"/>
          <w:sz w:val="24"/>
        </w:rPr>
      </w:r>
    </w:p>
    <w:p>
      <w:pPr>
        <w:pStyle w:val="Standard"/>
        <w:ind w:firstLine="284" w:end="0"/>
        <w:jc w:val="both"/>
        <w:rPr>
          <w:rFonts w:eastAsia="Times New Roman" w:cs="Times New Roman"/>
          <w:color w:val="auto"/>
          <w:sz w:val="20"/>
          <w:szCs w:val="20"/>
        </w:rPr>
      </w:pPr>
      <w:bookmarkStart w:id="5" w:name="_Hlk136768268"/>
      <w:bookmarkEnd w:id="5"/>
      <w:r>
        <w:rPr>
          <w:rFonts w:eastAsia="Times New Roman" w:cs="Times New Roman"/>
          <w:color w:val="auto"/>
          <w:sz w:val="20"/>
          <w:szCs w:val="20"/>
        </w:rPr>
        <w:t>Dopuszcza si</w:t>
      </w:r>
      <w:r>
        <w:rPr>
          <w:rFonts w:eastAsia="TimesNewRoman;MS Gothic" w:cs="Times New Roman"/>
          <w:color w:val="auto"/>
          <w:sz w:val="20"/>
          <w:szCs w:val="20"/>
        </w:rPr>
        <w:t xml:space="preserve">ę </w:t>
      </w:r>
      <w:r>
        <w:rPr>
          <w:rFonts w:eastAsia="Times New Roman" w:cs="Times New Roman"/>
          <w:color w:val="auto"/>
          <w:sz w:val="20"/>
          <w:szCs w:val="20"/>
        </w:rPr>
        <w:t>stosowanie materiałów zamiennych, spełniaj</w:t>
      </w:r>
      <w:r>
        <w:rPr>
          <w:rFonts w:eastAsia="TimesNewRoman;MS Gothic" w:cs="Times New Roman"/>
          <w:color w:val="auto"/>
          <w:sz w:val="20"/>
          <w:szCs w:val="20"/>
        </w:rPr>
        <w:t>ą</w:t>
      </w:r>
      <w:r>
        <w:rPr>
          <w:rFonts w:eastAsia="Times New Roman" w:cs="Times New Roman"/>
          <w:color w:val="auto"/>
          <w:sz w:val="20"/>
          <w:szCs w:val="20"/>
        </w:rPr>
        <w:t>cych wymagania techniczne projektu, posiadaj</w:t>
      </w:r>
      <w:r>
        <w:rPr>
          <w:rFonts w:eastAsia="TimesNewRoman;MS Gothic" w:cs="Times New Roman"/>
          <w:color w:val="auto"/>
          <w:sz w:val="20"/>
          <w:szCs w:val="20"/>
        </w:rPr>
        <w:t>ą</w:t>
      </w:r>
      <w:r>
        <w:rPr>
          <w:rFonts w:eastAsia="Times New Roman" w:cs="Times New Roman"/>
          <w:color w:val="auto"/>
          <w:sz w:val="20"/>
          <w:szCs w:val="20"/>
        </w:rPr>
        <w:t xml:space="preserve">cych stosowne aprobaty, atesty i </w:t>
      </w:r>
      <w:r>
        <w:rPr>
          <w:rFonts w:eastAsia="TimesNewRoman;MS Gothic" w:cs="Times New Roman"/>
          <w:color w:val="auto"/>
          <w:sz w:val="20"/>
          <w:szCs w:val="20"/>
        </w:rPr>
        <w:t>ś</w:t>
      </w:r>
      <w:r>
        <w:rPr>
          <w:rFonts w:eastAsia="Times New Roman" w:cs="Times New Roman"/>
          <w:color w:val="auto"/>
          <w:sz w:val="20"/>
          <w:szCs w:val="20"/>
        </w:rPr>
        <w:t>wiadectwa dopuszczaj</w:t>
      </w:r>
      <w:r>
        <w:rPr>
          <w:rFonts w:eastAsia="TimesNewRoman;MS Gothic" w:cs="Times New Roman"/>
          <w:color w:val="auto"/>
          <w:sz w:val="20"/>
          <w:szCs w:val="20"/>
        </w:rPr>
        <w:t>ą</w:t>
      </w:r>
      <w:r>
        <w:rPr>
          <w:rFonts w:eastAsia="Times New Roman" w:cs="Times New Roman"/>
          <w:color w:val="auto"/>
          <w:sz w:val="20"/>
          <w:szCs w:val="20"/>
        </w:rPr>
        <w:t>ce do stosowania ich w budownictwie na terenie Polski. W przypadku zastosowania innych rozwi</w:t>
      </w:r>
      <w:r>
        <w:rPr>
          <w:rFonts w:eastAsia="TimesNewRoman;MS Gothic" w:cs="Times New Roman"/>
          <w:color w:val="auto"/>
          <w:sz w:val="20"/>
          <w:szCs w:val="20"/>
        </w:rPr>
        <w:t>ą</w:t>
      </w:r>
      <w:r>
        <w:rPr>
          <w:rFonts w:eastAsia="Times New Roman" w:cs="Times New Roman"/>
          <w:color w:val="auto"/>
          <w:sz w:val="20"/>
          <w:szCs w:val="20"/>
        </w:rPr>
        <w:t>za</w:t>
      </w:r>
      <w:r>
        <w:rPr>
          <w:rFonts w:eastAsia="TimesNewRoman;MS Gothic" w:cs="Times New Roman"/>
          <w:color w:val="auto"/>
          <w:sz w:val="20"/>
          <w:szCs w:val="20"/>
        </w:rPr>
        <w:t xml:space="preserve">ń </w:t>
      </w:r>
      <w:r>
        <w:rPr>
          <w:rFonts w:eastAsia="Times New Roman" w:cs="Times New Roman"/>
          <w:color w:val="auto"/>
          <w:sz w:val="20"/>
          <w:szCs w:val="20"/>
        </w:rPr>
        <w:t>materiałowych, wprowadzaj</w:t>
      </w:r>
      <w:r>
        <w:rPr>
          <w:rFonts w:eastAsia="TimesNewRoman;MS Gothic" w:cs="Times New Roman"/>
          <w:color w:val="auto"/>
          <w:sz w:val="20"/>
          <w:szCs w:val="20"/>
        </w:rPr>
        <w:t>ą</w:t>
      </w:r>
      <w:r>
        <w:rPr>
          <w:rFonts w:eastAsia="Times New Roman" w:cs="Times New Roman"/>
          <w:color w:val="auto"/>
          <w:sz w:val="20"/>
          <w:szCs w:val="20"/>
        </w:rPr>
        <w:t>cy zmiany winien we własnym zakresie dokona</w:t>
      </w:r>
      <w:r>
        <w:rPr>
          <w:rFonts w:eastAsia="TimesNewRoman;MS Gothic" w:cs="Times New Roman"/>
          <w:color w:val="auto"/>
          <w:sz w:val="20"/>
          <w:szCs w:val="20"/>
        </w:rPr>
        <w:t xml:space="preserve">ć </w:t>
      </w:r>
      <w:r>
        <w:rPr>
          <w:rFonts w:eastAsia="Times New Roman" w:cs="Times New Roman"/>
          <w:color w:val="auto"/>
          <w:sz w:val="20"/>
          <w:szCs w:val="20"/>
        </w:rPr>
        <w:t>zmian obliczeniowych i adaptacyjnych niezb</w:t>
      </w:r>
      <w:r>
        <w:rPr>
          <w:rFonts w:eastAsia="TimesNewRoman;MS Gothic" w:cs="Times New Roman"/>
          <w:color w:val="auto"/>
          <w:sz w:val="20"/>
          <w:szCs w:val="20"/>
        </w:rPr>
        <w:t>ę</w:t>
      </w:r>
      <w:r>
        <w:rPr>
          <w:rFonts w:eastAsia="Times New Roman" w:cs="Times New Roman"/>
          <w:color w:val="auto"/>
          <w:sz w:val="20"/>
          <w:szCs w:val="20"/>
        </w:rPr>
        <w:t>dnych dla wprowadzenia zmiany lub wynikaj</w:t>
      </w:r>
      <w:r>
        <w:rPr>
          <w:rFonts w:eastAsia="TimesNewRoman;MS Gothic" w:cs="Times New Roman"/>
          <w:color w:val="auto"/>
          <w:sz w:val="20"/>
          <w:szCs w:val="20"/>
        </w:rPr>
        <w:t>ą</w:t>
      </w:r>
      <w:r>
        <w:rPr>
          <w:rFonts w:eastAsia="Times New Roman" w:cs="Times New Roman"/>
          <w:color w:val="auto"/>
          <w:sz w:val="20"/>
          <w:szCs w:val="20"/>
        </w:rPr>
        <w:t>cych z wprowadzania zmiany. Ostateczn</w:t>
      </w:r>
      <w:r>
        <w:rPr>
          <w:rFonts w:eastAsia="TimesNewRoman;MS Gothic" w:cs="Times New Roman"/>
          <w:color w:val="auto"/>
          <w:sz w:val="20"/>
          <w:szCs w:val="20"/>
        </w:rPr>
        <w:t xml:space="preserve">ą </w:t>
      </w:r>
      <w:r>
        <w:rPr>
          <w:rFonts w:eastAsia="Times New Roman" w:cs="Times New Roman"/>
          <w:color w:val="auto"/>
          <w:sz w:val="20"/>
          <w:szCs w:val="20"/>
        </w:rPr>
        <w:t>decyzje o wyborze materiałów po spełnieniu w/w kryteriów podejmuje Inwestor. Odpowiedzialno</w:t>
      </w:r>
      <w:r>
        <w:rPr>
          <w:rFonts w:eastAsia="TimesNewRoman;MS Gothic" w:cs="Times New Roman"/>
          <w:color w:val="auto"/>
          <w:sz w:val="20"/>
          <w:szCs w:val="20"/>
        </w:rPr>
        <w:t xml:space="preserve">ść </w:t>
      </w:r>
      <w:r>
        <w:rPr>
          <w:rFonts w:eastAsia="Times New Roman" w:cs="Times New Roman"/>
          <w:color w:val="auto"/>
          <w:sz w:val="20"/>
          <w:szCs w:val="20"/>
        </w:rPr>
        <w:t>za wprowadzone zmiany ponosi wprowadzaj</w:t>
      </w:r>
      <w:r>
        <w:rPr>
          <w:rFonts w:eastAsia="TimesNewRoman;MS Gothic" w:cs="Times New Roman"/>
          <w:color w:val="auto"/>
          <w:sz w:val="20"/>
          <w:szCs w:val="20"/>
        </w:rPr>
        <w:t>ą</w:t>
      </w:r>
      <w:r>
        <w:rPr>
          <w:rFonts w:eastAsia="Times New Roman" w:cs="Times New Roman"/>
          <w:color w:val="auto"/>
          <w:sz w:val="20"/>
          <w:szCs w:val="20"/>
        </w:rPr>
        <w:t>cy zmiany.</w:t>
      </w:r>
    </w:p>
    <w:p>
      <w:pPr>
        <w:pStyle w:val="Standard"/>
        <w:ind w:firstLine="284" w:end="0"/>
        <w:jc w:val="both"/>
        <w:rPr>
          <w:rFonts w:eastAsia="Times New Roman" w:cs="Times New Roman"/>
          <w:color w:val="auto"/>
          <w:sz w:val="20"/>
          <w:szCs w:val="20"/>
        </w:rPr>
      </w:pPr>
      <w:r>
        <w:rPr>
          <w:rFonts w:eastAsia="Times New Roman" w:cs="Times New Roman"/>
          <w:color w:val="auto"/>
          <w:sz w:val="20"/>
          <w:szCs w:val="20"/>
        </w:rPr>
      </w:r>
    </w:p>
    <w:p>
      <w:pPr>
        <w:pStyle w:val="Standard"/>
        <w:ind w:firstLine="284" w:end="0"/>
        <w:jc w:val="both"/>
        <w:rPr>
          <w:rFonts w:ascii="Times New Roman" w:hAnsi="Times New Roman" w:eastAsia="Times New Roman" w:cs="Times New Roman"/>
          <w:color w:val="auto"/>
          <w:sz w:val="24"/>
          <w:szCs w:val="20"/>
        </w:rPr>
      </w:pPr>
      <w:r>
        <w:rPr>
          <w:rFonts w:eastAsia="Times New Roman" w:cs="Times New Roman"/>
          <w:color w:val="auto"/>
          <w:sz w:val="20"/>
          <w:szCs w:val="20"/>
        </w:rPr>
        <w:t>Przytoczone typy urządzeń nie mają na celu wskazanie konkretnego producenta ale ułatwiają sporządzić czytelną dokumentację pod względem projektowanych rozwiązań technicznych, co umożliwia poprawną wycenę zadania na drodze postępowania przetargowego, eliminując ryzyko przyjęcia przez oferentów niekorzystnych dla Inwestora rozwiązań.</w:t>
      </w:r>
    </w:p>
    <w:p>
      <w:pPr>
        <w:pStyle w:val="Normal"/>
        <w:spacing w:lineRule="exact" w:line="200"/>
        <w:jc w:val="both"/>
        <w:rPr>
          <w:rFonts w:ascii="Times New Roman" w:hAnsi="Times New Roman" w:eastAsia="Times New Roman" w:cs="Times New Roman"/>
          <w:color w:val="auto"/>
          <w:sz w:val="24"/>
          <w:szCs w:val="20"/>
        </w:rPr>
      </w:pPr>
      <w:r>
        <w:rPr>
          <w:rFonts w:eastAsia="Times New Roman" w:cs="Times New Roman" w:ascii="Times New Roman" w:hAnsi="Times New Roman"/>
          <w:color w:val="auto"/>
          <w:sz w:val="24"/>
          <w:szCs w:val="20"/>
        </w:rPr>
      </w:r>
    </w:p>
    <w:p>
      <w:pPr>
        <w:pStyle w:val="Normal"/>
        <w:spacing w:lineRule="exact" w:line="200"/>
        <w:jc w:val="both"/>
        <w:rPr>
          <w:rFonts w:ascii="Times New Roman" w:hAnsi="Times New Roman" w:eastAsia="Times New Roman" w:cs="Times New Roman"/>
          <w:color w:val="auto"/>
          <w:sz w:val="24"/>
          <w:szCs w:val="20"/>
        </w:rPr>
      </w:pPr>
      <w:r>
        <w:rPr>
          <w:rFonts w:eastAsia="Times New Roman" w:cs="Times New Roman" w:ascii="Times New Roman" w:hAnsi="Times New Roman"/>
          <w:color w:val="auto"/>
          <w:sz w:val="24"/>
          <w:szCs w:val="20"/>
        </w:rPr>
      </w:r>
    </w:p>
    <w:p>
      <w:pPr>
        <w:pStyle w:val="Normal"/>
        <w:spacing w:lineRule="exact" w:line="200"/>
        <w:jc w:val="both"/>
        <w:rPr>
          <w:rFonts w:ascii="Times New Roman" w:hAnsi="Times New Roman" w:eastAsia="Times New Roman" w:cs="Times New Roman"/>
          <w:color w:val="auto"/>
          <w:sz w:val="24"/>
          <w:szCs w:val="20"/>
        </w:rPr>
      </w:pPr>
      <w:r>
        <w:rPr>
          <w:rFonts w:eastAsia="Times New Roman" w:cs="Times New Roman" w:ascii="Times New Roman" w:hAnsi="Times New Roman"/>
          <w:color w:val="auto"/>
          <w:sz w:val="24"/>
          <w:szCs w:val="20"/>
        </w:rPr>
      </w:r>
    </w:p>
    <w:p>
      <w:pPr>
        <w:pStyle w:val="Normal"/>
        <w:spacing w:lineRule="exact" w:line="200"/>
        <w:jc w:val="both"/>
        <w:rPr>
          <w:rFonts w:ascii="Times New Roman" w:hAnsi="Times New Roman" w:eastAsia="Times New Roman" w:cs="Times New Roman"/>
          <w:color w:val="auto"/>
          <w:sz w:val="24"/>
          <w:szCs w:val="20"/>
        </w:rPr>
      </w:pPr>
      <w:r>
        <w:rPr>
          <w:rFonts w:eastAsia="Times New Roman" w:cs="Times New Roman" w:ascii="Times New Roman" w:hAnsi="Times New Roman"/>
          <w:color w:val="auto"/>
          <w:sz w:val="24"/>
          <w:szCs w:val="20"/>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40" w:right="1126" w:gutter="0" w:header="700" w:top="1167" w:footer="581" w:bottom="1071"/>
          <w:pgNumType w:fmt="decimal"/>
          <w:formProt w:val="false"/>
          <w:textDirection w:val="lrTb"/>
          <w:docGrid w:type="default" w:linePitch="360" w:charSpace="0"/>
        </w:sectPr>
        <w:pStyle w:val="Normal"/>
        <w:spacing w:lineRule="atLeast" w:line="0"/>
        <w:ind w:end="20"/>
        <w:jc w:val="center"/>
        <w:rPr>
          <w:rFonts w:ascii="Times New Roman" w:hAnsi="Times New Roman" w:eastAsia="Times New Roman" w:cs="Times New Roman"/>
          <w:color w:val="auto"/>
          <w:sz w:val="24"/>
        </w:rPr>
      </w:pPr>
      <w:bookmarkStart w:id="6" w:name="_Hlk136772861"/>
      <w:r>
        <w:rPr>
          <w:rFonts w:eastAsia="Times New Roman" w:cs="Times New Roman" w:ascii="Times New Roman" w:hAnsi="Times New Roman"/>
          <w:color w:val="auto"/>
          <w:sz w:val="24"/>
        </w:rPr>
        <w:t>Kielce, lipiec 202</w:t>
      </w:r>
      <w:bookmarkEnd w:id="6"/>
      <w:r>
        <w:rPr>
          <w:rFonts w:eastAsia="Times New Roman" w:cs="Times New Roman" w:ascii="Times New Roman" w:hAnsi="Times New Roman"/>
          <w:color w:val="auto"/>
          <w:sz w:val="24"/>
        </w:rPr>
        <w:t>4 r.</w:t>
      </w:r>
    </w:p>
    <w:p>
      <w:pPr>
        <w:pStyle w:val="Header"/>
        <w:tabs>
          <w:tab w:val="center" w:pos="4536" w:leader="none"/>
          <w:tab w:val="right" w:pos="8904" w:leader="none"/>
          <w:tab w:val="right" w:pos="9072" w:leader="none"/>
        </w:tabs>
        <w:spacing w:lineRule="auto" w:line="240"/>
        <w:ind w:start="142"/>
        <w:rPr>
          <w:rFonts w:ascii="Arial" w:hAnsi="Arial" w:cs="Arial"/>
          <w:sz w:val="16"/>
          <w:szCs w:val="16"/>
        </w:rPr>
      </w:pPr>
      <w:r>
        <w:rPr>
          <w:rFonts w:cs="Arial" w:ascii="Arial" w:hAnsi="Arial"/>
          <w:sz w:val="16"/>
          <w:szCs w:val="16"/>
        </w:rPr>
      </w:r>
      <w:bookmarkStart w:id="7" w:name="_Hlk136768268_kopia_1"/>
      <w:bookmarkStart w:id="8" w:name="_Hlk136768268_kopia_1"/>
      <w:bookmarkEnd w:id="8"/>
    </w:p>
    <w:p>
      <w:pPr>
        <w:pStyle w:val="Header"/>
        <w:tabs>
          <w:tab w:val="center" w:pos="4536" w:leader="none"/>
          <w:tab w:val="right" w:pos="8904" w:leader="none"/>
          <w:tab w:val="right" w:pos="9072" w:leader="none"/>
        </w:tabs>
        <w:spacing w:lineRule="auto" w:line="240"/>
        <w:ind w:start="142"/>
        <w:rPr>
          <w:rFonts w:ascii="Arial" w:hAnsi="Arial" w:cs="Arial"/>
          <w:sz w:val="16"/>
          <w:szCs w:val="16"/>
        </w:rPr>
      </w:pPr>
      <w:r>
        <w:rPr>
          <w:rFonts w:cs="Arial" w:ascii="Arial" w:hAnsi="Arial"/>
          <w:sz w:val="16"/>
          <w:szCs w:val="16"/>
        </w:rPr>
      </w:r>
    </w:p>
    <w:p>
      <w:pPr>
        <w:pStyle w:val="Normal"/>
        <w:ind w:firstLine="720" w:end="-6"/>
        <w:jc w:val="both"/>
        <w:rPr>
          <w:rFonts w:ascii="Times New Roman" w:hAnsi="Times New Roman" w:eastAsia="Times New Roman" w:cs="Times New Roman"/>
          <w:b/>
          <w:color w:val="auto"/>
          <w:sz w:val="22"/>
          <w:szCs w:val="22"/>
          <w:u w:val="single"/>
        </w:rPr>
      </w:pPr>
      <w:r>
        <w:rPr>
          <w:rFonts w:eastAsia="Times New Roman" w:cs="Times New Roman" w:ascii="Times New Roman" w:hAnsi="Times New Roman"/>
          <w:b/>
          <w:color w:val="auto"/>
          <w:sz w:val="22"/>
          <w:szCs w:val="22"/>
          <w:u w:val="single"/>
        </w:rPr>
        <w:t>I. OGÓLNA SPECYFIKACJA TECHNICZNA (ST - 00)</w:t>
      </w:r>
    </w:p>
    <w:p>
      <w:pPr>
        <w:pStyle w:val="Normal"/>
        <w:jc w:val="both"/>
        <w:rPr>
          <w:rFonts w:ascii="Times New Roman" w:hAnsi="Times New Roman" w:eastAsia="Times New Roman" w:cs="Times New Roman"/>
          <w:b/>
          <w:color w:val="auto"/>
          <w:sz w:val="22"/>
          <w:szCs w:val="22"/>
          <w:u w:val="single"/>
        </w:rPr>
      </w:pPr>
      <w:r>
        <w:rPr>
          <w:rFonts w:eastAsia="Times New Roman" w:cs="Times New Roman" w:ascii="Times New Roman" w:hAnsi="Times New Roman"/>
          <w:b/>
          <w:color w:val="auto"/>
          <w:sz w:val="22"/>
          <w:szCs w:val="22"/>
          <w:u w:val="single"/>
        </w:rPr>
      </w:r>
    </w:p>
    <w:p>
      <w:pPr>
        <w:pStyle w:val="Normal"/>
        <w:ind w:firstLine="713" w:start="7" w:end="0"/>
        <w:jc w:val="both"/>
        <w:rPr>
          <w:rFonts w:ascii="Times New Roman" w:hAnsi="Times New Roman" w:eastAsia="Times New Roman" w:cs="Times New Roman"/>
          <w:b/>
          <w:i/>
          <w:i/>
          <w:color w:val="auto"/>
          <w:sz w:val="22"/>
          <w:szCs w:val="22"/>
        </w:rPr>
      </w:pPr>
      <w:r>
        <w:rPr>
          <w:rFonts w:eastAsia="Times New Roman" w:cs="Times New Roman" w:ascii="Times New Roman" w:hAnsi="Times New Roman"/>
          <w:b/>
          <w:color w:val="auto"/>
          <w:sz w:val="22"/>
          <w:szCs w:val="22"/>
        </w:rPr>
        <w:t>1.WSTĘP</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1.1 Przedmiot ST</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Przedmiotem niniejszej specyfikacji technicznej (ST-00) są wymagania ogólne dotyczące wykonania i odbioru robót dla zadania: </w:t>
      </w:r>
      <w:r>
        <w:rPr>
          <w:rFonts w:cs="Times New Roman" w:ascii="Times New Roman" w:hAnsi="Times New Roman"/>
          <w:color w:val="auto"/>
          <w:sz w:val="22"/>
          <w:szCs w:val="22"/>
        </w:rPr>
        <w:t xml:space="preserve">,,Remont hydroforni, modernizacja instalacji z wymianą zbiorników buforowych i renowacją zbiorników wody pitnej dla  Świętokrzyskiego Centrum Onkologii w Kielcach’’ </w:t>
      </w:r>
      <w:r>
        <w:rPr>
          <w:rFonts w:eastAsia="Times New Roman" w:cs="Times New Roman" w:ascii="Times New Roman" w:hAnsi="Times New Roman"/>
          <w:color w:val="auto"/>
          <w:sz w:val="22"/>
          <w:szCs w:val="22"/>
        </w:rPr>
        <w:t>-</w:t>
      </w:r>
      <w:r>
        <w:rPr>
          <w:rFonts w:eastAsia="Times New Roman" w:cs="Times New Roman" w:ascii="Times New Roman" w:hAnsi="Times New Roman"/>
          <w:b/>
          <w:bCs/>
          <w:color w:val="auto"/>
          <w:sz w:val="22"/>
          <w:szCs w:val="22"/>
        </w:rPr>
        <w:t xml:space="preserve"> Branża sanitarna.</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1.2 Zakres stosowania ST</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Specyfikacja techniczna (ST-00) stanowi dokument przetargowy i kontraktowy przy zlecaniu i realizacji robót wymienionych w pkt. 1.1.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1.3 Zakres robót objętych ST</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Ustalenia zawarte w niniejszej specyfikacji obejmują wymagania ogólne, wspólne dla robót budowlanych objętych specyfikacją techniczną (ST-00) i szczegółowymi specyfikacjami technicznymi (SST).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0"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1.4 Określenia podstawowe</w:t>
      </w:r>
    </w:p>
    <w:p>
      <w:pPr>
        <w:pStyle w:val="Normal"/>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rPr>
        <w:t>Ilekroć w ST jest mowa o:</w:t>
      </w:r>
    </w:p>
    <w:p>
      <w:pPr>
        <w:pStyle w:val="Normal"/>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obiekcie budowlanym</w:t>
      </w:r>
      <w:r>
        <w:rPr>
          <w:rFonts w:eastAsia="Times New Roman" w:cs="Times New Roman" w:ascii="Times New Roman" w:hAnsi="Times New Roman"/>
          <w:color w:val="auto"/>
          <w:sz w:val="22"/>
          <w:szCs w:val="22"/>
        </w:rPr>
        <w:t xml:space="preserve"> – należy przez to rozumieć: budynek wraz z instalacjami i urządzeniami technicznymi, budowlę stanowiącą całość techniczno-użytkową wraz z instalacjami i urządzeniami, obiekt małej architektury;</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budynku</w:t>
      </w:r>
      <w:r>
        <w:rPr>
          <w:rFonts w:eastAsia="Times New Roman" w:cs="Times New Roman" w:ascii="Times New Roman" w:hAnsi="Times New Roman"/>
          <w:color w:val="auto"/>
          <w:sz w:val="22"/>
          <w:szCs w:val="22"/>
        </w:rPr>
        <w:t xml:space="preserve"> – należy przez to rozumieć taki obiekt budowlany, który jest trwale związany z gruntem, wydzielony z przestrzeni za pomocą przegród budowlanych oraz posiada fundamenty i dach.</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budowli</w:t>
      </w:r>
      <w:r>
        <w:rPr>
          <w:rFonts w:eastAsia="Times New Roman" w:cs="Times New Roman" w:ascii="Times New Roman" w:hAnsi="Times New Roman"/>
          <w:color w:val="auto"/>
          <w:sz w:val="22"/>
          <w:szCs w:val="22"/>
        </w:rPr>
        <w:t xml:space="preserve">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 </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tymczasowym obiekcie budowlanym</w:t>
      </w:r>
      <w:r>
        <w:rPr>
          <w:rFonts w:eastAsia="Times New Roman" w:cs="Times New Roman" w:ascii="Times New Roman" w:hAnsi="Times New Roman"/>
          <w:color w:val="auto"/>
          <w:sz w:val="22"/>
          <w:szCs w:val="22"/>
        </w:rPr>
        <w:t xml:space="preserve">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przekrycia namiotowe i powłoki pneumatyczne, urządzenia rozrywkowe, barakowozy, obiekty kontenerowe.</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budowie</w:t>
      </w:r>
      <w:r>
        <w:rPr>
          <w:rFonts w:eastAsia="Times New Roman" w:cs="Times New Roman" w:ascii="Times New Roman" w:hAnsi="Times New Roman"/>
          <w:color w:val="auto"/>
          <w:sz w:val="22"/>
          <w:szCs w:val="22"/>
        </w:rPr>
        <w:t xml:space="preserve"> – należy przez to rozumieć wykonanie obiektu budowlanego w określonym miejscu, a także odbudowę, rozbudowę, nadbudowę obiektu budowlanego.</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robotach budowlanych</w:t>
      </w:r>
      <w:r>
        <w:rPr>
          <w:rFonts w:eastAsia="Times New Roman" w:cs="Times New Roman" w:ascii="Times New Roman" w:hAnsi="Times New Roman"/>
          <w:color w:val="auto"/>
          <w:sz w:val="22"/>
          <w:szCs w:val="22"/>
        </w:rPr>
        <w:t xml:space="preserve"> – należy przez to rozumieć budowę, a także prace polegające na przebudowie, montażu, remoncie lub rozbiórce obiektu budowlanego.</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remoncie</w:t>
      </w:r>
      <w:r>
        <w:rPr>
          <w:rFonts w:eastAsia="Times New Roman" w:cs="Times New Roman" w:ascii="Times New Roman" w:hAnsi="Times New Roman"/>
          <w:color w:val="auto"/>
          <w:sz w:val="22"/>
          <w:szCs w:val="22"/>
        </w:rPr>
        <w:t xml:space="preserve"> – należy przez to rozumieć wykonywanie w istniejącym obiekcie budowlanym robót budowlanych polegających na odtworzeniu stanu pierwotnego, a nie stanowiących bieżącej konserwacji.</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urządzeniach budowlanych</w:t>
      </w:r>
      <w:r>
        <w:rPr>
          <w:rFonts w:eastAsia="Times New Roman" w:cs="Times New Roman" w:ascii="Times New Roman" w:hAnsi="Times New Roman"/>
          <w:color w:val="auto"/>
          <w:sz w:val="22"/>
          <w:szCs w:val="22"/>
        </w:rPr>
        <w:t xml:space="preserv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terenie budowy</w:t>
      </w:r>
      <w:r>
        <w:rPr>
          <w:rFonts w:eastAsia="Times New Roman" w:cs="Times New Roman" w:ascii="Times New Roman" w:hAnsi="Times New Roman"/>
          <w:color w:val="auto"/>
          <w:sz w:val="22"/>
          <w:szCs w:val="22"/>
        </w:rPr>
        <w:t xml:space="preserve"> – należy przez to rozumieć przestrzeń, w której prowadzone są roboty budowlane wraz z przestrzenią zajmowaną przez urządzenia zaplecza budowy.</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prawie do dysponowania nieruchomością na cele budowlane</w:t>
      </w:r>
      <w:r>
        <w:rPr>
          <w:rFonts w:eastAsia="Times New Roman" w:cs="Times New Roman" w:ascii="Times New Roman" w:hAnsi="Times New Roman"/>
          <w:color w:val="auto"/>
          <w:sz w:val="22"/>
          <w:szCs w:val="22"/>
        </w:rPr>
        <w:t xml:space="preserve"> – należy przez to rozumieć tytuł prawny wynikający z prawa własności, użytkowania wieczystego, zarządu, ograniczonego prawa rzeczowego albo stosunku zobowiązaniowego, przewidującego uprawnienia do wykonywania robót budowlanych.</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pozwoleniu na budowę</w:t>
      </w:r>
      <w:r>
        <w:rPr>
          <w:rFonts w:eastAsia="Times New Roman" w:cs="Times New Roman" w:ascii="Times New Roman" w:hAnsi="Times New Roman"/>
          <w:color w:val="auto"/>
          <w:sz w:val="22"/>
          <w:szCs w:val="22"/>
        </w:rPr>
        <w:t xml:space="preserve"> – należy przez to rozumieć decyzję administracyjną zezwalającą na rozpoczęcie i prowadzenie budowy lub wykonywanie robót budowlanych innych niż budowa obiektu budowlanego.</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dokumentacji budowy</w:t>
      </w:r>
      <w:r>
        <w:rPr>
          <w:rFonts w:eastAsia="Times New Roman" w:cs="Times New Roman" w:ascii="Times New Roman" w:hAnsi="Times New Roman"/>
          <w:color w:val="auto"/>
          <w:sz w:val="22"/>
          <w:szCs w:val="22"/>
        </w:rPr>
        <w:t xml:space="preserve">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pPr>
        <w:pStyle w:val="Normal"/>
        <w:ind w:hanging="11"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dokumentacji powykonawczej</w:t>
      </w:r>
      <w:r>
        <w:rPr>
          <w:rFonts w:eastAsia="Times New Roman" w:cs="Times New Roman" w:ascii="Times New Roman" w:hAnsi="Times New Roman"/>
          <w:color w:val="auto"/>
          <w:sz w:val="22"/>
          <w:szCs w:val="22"/>
        </w:rPr>
        <w:t xml:space="preserve"> – należy przez to rozumieć dokumentację budowy z naniesionymi zmianami dokonanymi w toku wykonywania robót oraz geodezyjnymi pomiarami powykonawczymi..</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aprobacie technicznej</w:t>
      </w:r>
      <w:r>
        <w:rPr>
          <w:rFonts w:eastAsia="Times New Roman" w:cs="Times New Roman" w:ascii="Times New Roman" w:hAnsi="Times New Roman"/>
          <w:color w:val="auto"/>
          <w:sz w:val="22"/>
          <w:szCs w:val="22"/>
        </w:rPr>
        <w:t xml:space="preserve"> – należy przez to rozumieć pozytywną ocenę techniczną wyrobu, stwierdzającą jego przydatność do stosowania w budownictwie.</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właściwym organie</w:t>
      </w:r>
      <w:r>
        <w:rPr>
          <w:rFonts w:eastAsia="Times New Roman" w:cs="Times New Roman" w:ascii="Times New Roman" w:hAnsi="Times New Roman"/>
          <w:color w:val="auto"/>
          <w:sz w:val="22"/>
          <w:szCs w:val="22"/>
        </w:rPr>
        <w:t xml:space="preserve"> – należy przez to rozumieć organ nadzoru architektoniczno-budowlanego lub organ specjalistycznego nadzoru budowlanego</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wyrobie budowlanym</w:t>
      </w:r>
      <w:r>
        <w:rPr>
          <w:rFonts w:eastAsia="Times New Roman" w:cs="Times New Roman" w:ascii="Times New Roman" w:hAnsi="Times New Roman"/>
          <w:color w:val="auto"/>
          <w:sz w:val="22"/>
          <w:szCs w:val="22"/>
        </w:rPr>
        <w:t xml:space="preserve">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obszarze oddziaływania obiektu</w:t>
      </w:r>
      <w:r>
        <w:rPr>
          <w:rFonts w:eastAsia="Times New Roman" w:cs="Times New Roman" w:ascii="Times New Roman" w:hAnsi="Times New Roman"/>
          <w:color w:val="auto"/>
          <w:sz w:val="22"/>
          <w:szCs w:val="22"/>
        </w:rPr>
        <w:t xml:space="preserve"> – należy przez to rozumieć teren wyznaczony w otoczeniu budowlanym na podstawie przepisów odrębnych, wprowadzających związane z tym obiektem ograniczenia w zagospodarowaniu tego terenu.</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opłacie</w:t>
      </w:r>
      <w:r>
        <w:rPr>
          <w:rFonts w:eastAsia="Times New Roman" w:cs="Times New Roman" w:ascii="Times New Roman" w:hAnsi="Times New Roman"/>
          <w:color w:val="auto"/>
          <w:sz w:val="22"/>
          <w:szCs w:val="22"/>
        </w:rPr>
        <w:t xml:space="preserve"> – należy przez to rozumieć kwotę należności wnoszoną przez zobowiązanego za określone ustawą obowiązkowe kontrole dokonywane przez właściwy organ.</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drodze tymczasowej (montażowej)</w:t>
      </w:r>
      <w:r>
        <w:rPr>
          <w:rFonts w:eastAsia="Times New Roman" w:cs="Times New Roman" w:ascii="Times New Roman" w:hAnsi="Times New Roman"/>
          <w:color w:val="auto"/>
          <w:sz w:val="22"/>
          <w:szCs w:val="22"/>
        </w:rPr>
        <w:t xml:space="preserve"> – należy przez to rozumieć drogę specjalnie przygotowaną, przeznaczoną do ruchu pojazdów obsługujących roboty budowlane na czas ich wykonywania, przewidzianą do usunięcia po ich zakończeniu.</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dzienniku budowy</w:t>
      </w:r>
      <w:r>
        <w:rPr>
          <w:rFonts w:eastAsia="Times New Roman" w:cs="Times New Roman" w:ascii="Times New Roman" w:hAnsi="Times New Roman"/>
          <w:color w:val="auto"/>
          <w:sz w:val="22"/>
          <w:szCs w:val="22"/>
        </w:rPr>
        <w:t xml:space="preserve"> – należy przez to rozumieć dziennik wydany przez właściwy organ zgodnie z obowiązującymi przepisami, stanowiący urzędowy dokument przebiegu robót budowlanych oraz zdarzeń i okoliczności zachodzących w czasie wykonywania robót. 1.4.25. </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kierowniku budowy</w:t>
      </w:r>
      <w:r>
        <w:rPr>
          <w:rFonts w:eastAsia="Times New Roman" w:cs="Times New Roman" w:ascii="Times New Roman" w:hAnsi="Times New Roman"/>
          <w:color w:val="auto"/>
          <w:sz w:val="22"/>
          <w:szCs w:val="22"/>
        </w:rPr>
        <w:t xml:space="preserve"> – osoba wyznaczona przez Wykonawcę robót, upoważniona do kierowania robotami i do występowania w jego imieniu w sprawach realizacji kontraktu, ponosząca ustawową odpowiedzialność za prowadzoną budowę.</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rejestrze obmiarów</w:t>
      </w:r>
      <w:r>
        <w:rPr>
          <w:rFonts w:eastAsia="Times New Roman" w:cs="Times New Roman" w:ascii="Times New Roman" w:hAnsi="Times New Roman"/>
          <w:color w:val="auto"/>
          <w:sz w:val="22"/>
          <w:szCs w:val="22"/>
        </w:rPr>
        <w:t xml:space="preserve">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odpowiedniej zgodności</w:t>
      </w:r>
      <w:r>
        <w:rPr>
          <w:rFonts w:eastAsia="Times New Roman" w:cs="Times New Roman" w:ascii="Times New Roman" w:hAnsi="Times New Roman"/>
          <w:color w:val="auto"/>
          <w:sz w:val="22"/>
          <w:szCs w:val="22"/>
        </w:rPr>
        <w:t xml:space="preserve"> – należy przez to rozumieć zgodność wykonanych robót dopuszczalnymi tolerancjami, a jeśli granice tolerancji nie zostały określone – z przeciętnymi tolerancjami przyjmowanymi zwyczajowo dla danego rodzaju robót budowlanych.</w:t>
      </w:r>
    </w:p>
    <w:p>
      <w:pPr>
        <w:pStyle w:val="Normal"/>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poleceniu Inspektora Nadzoru</w:t>
      </w:r>
      <w:r>
        <w:rPr>
          <w:rFonts w:eastAsia="Times New Roman" w:cs="Times New Roman" w:ascii="Times New Roman" w:hAnsi="Times New Roman"/>
          <w:color w:val="auto"/>
          <w:sz w:val="22"/>
          <w:szCs w:val="22"/>
        </w:rPr>
        <w:t xml:space="preserve"> – należy przez to rozumieć wszelkie polecenia przekazane Wykonawcy przez Inspektora Nadzoru w formie pisemnej dotyczące sposobu realizacji robót lub innych spraw związanych z prowadzeniem budowy.</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projektancie</w:t>
      </w:r>
      <w:r>
        <w:rPr>
          <w:rFonts w:eastAsia="Times New Roman" w:cs="Times New Roman" w:ascii="Times New Roman" w:hAnsi="Times New Roman"/>
          <w:color w:val="auto"/>
          <w:sz w:val="22"/>
          <w:szCs w:val="22"/>
        </w:rPr>
        <w:t xml:space="preserve"> – należy przez to rozumieć uprawnioną osobę prawną lub fizyczną będącą autorem dokumentacji projektowej.</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rekultywacji</w:t>
      </w:r>
      <w:r>
        <w:rPr>
          <w:rFonts w:eastAsia="Times New Roman" w:cs="Times New Roman" w:ascii="Times New Roman" w:hAnsi="Times New Roman"/>
          <w:color w:val="auto"/>
          <w:sz w:val="22"/>
          <w:szCs w:val="22"/>
        </w:rPr>
        <w:t xml:space="preserve"> – należy przez to rozumieć roboty mające na celu uporządkowanie i przywrócenie pierwotnych funkcji terenu naruszonego w czasie realizacji budowy lub robót budowlanych.</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części obiektu lub etapie wykonania</w:t>
      </w:r>
      <w:r>
        <w:rPr>
          <w:rFonts w:eastAsia="Times New Roman" w:cs="Times New Roman" w:ascii="Times New Roman" w:hAnsi="Times New Roman"/>
          <w:color w:val="auto"/>
          <w:sz w:val="22"/>
          <w:szCs w:val="22"/>
        </w:rPr>
        <w:t xml:space="preserve"> – należy przez to rozumieć część obiektu budowlanego zdolną do spełniania przewidywanych funkcji techniczno-użytkowych i możliwą do odebrania i przekazania do eksploatacji.</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ustaleniach technicznych</w:t>
      </w:r>
      <w:r>
        <w:rPr>
          <w:rFonts w:eastAsia="Times New Roman" w:cs="Times New Roman" w:ascii="Times New Roman" w:hAnsi="Times New Roman"/>
          <w:color w:val="auto"/>
          <w:sz w:val="22"/>
          <w:szCs w:val="22"/>
        </w:rPr>
        <w:t xml:space="preserve"> – należy przez to rozumieć ustalenia podane w normach, aprobatach technicznych i szczegółowych specyfikacjach technicznych.</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inspektorze nadzoru inwestorskiego</w:t>
      </w:r>
      <w:r>
        <w:rPr>
          <w:rFonts w:eastAsia="Times New Roman" w:cs="Times New Roman" w:ascii="Times New Roman" w:hAnsi="Times New Roman"/>
          <w:color w:val="auto"/>
          <w:sz w:val="22"/>
          <w:szCs w:val="22"/>
        </w:rPr>
        <w:t xml:space="preserve">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instrukcji technicznej obsługi (eksploatacji</w:t>
      </w:r>
      <w:r>
        <w:rPr>
          <w:rFonts w:eastAsia="Times New Roman" w:cs="Times New Roman" w:ascii="Times New Roman" w:hAnsi="Times New Roman"/>
          <w:color w:val="auto"/>
          <w:sz w:val="22"/>
          <w:szCs w:val="22"/>
        </w:rPr>
        <w:t>)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pPr>
        <w:pStyle w:val="Normal"/>
        <w:ind w:hanging="12"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istotnych wymaganiach</w:t>
      </w:r>
      <w:r>
        <w:rPr>
          <w:rFonts w:eastAsia="Times New Roman" w:cs="Times New Roman" w:ascii="Times New Roman" w:hAnsi="Times New Roman"/>
          <w:color w:val="auto"/>
          <w:sz w:val="22"/>
          <w:szCs w:val="22"/>
        </w:rPr>
        <w:t xml:space="preserve"> – oznaczają wymagania dotyczące bezpieczeństwa, zdrowia i pewnych innych aspektów interesu wspólnego, jakie maja spełniać roboty budowlane.</w:t>
      </w:r>
    </w:p>
    <w:p>
      <w:pPr>
        <w:pStyle w:val="Normal"/>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normach europejskich</w:t>
      </w:r>
      <w:r>
        <w:rPr>
          <w:rFonts w:eastAsia="Times New Roman" w:cs="Times New Roman" w:ascii="Times New Roman" w:hAnsi="Times New Roman"/>
          <w:color w:val="auto"/>
          <w:sz w:val="22"/>
          <w:szCs w:val="22"/>
        </w:rPr>
        <w:t xml:space="preserve"> – oznaczają normy przyjęte przez Europejski Komitet Standaryzacji (CEN)  oraz  Europejski  Komitet  Standaryzacji  elektrotechnicznej  (CENELEC)  jako „standardy europejskie (EN)” lub „dokumenty harmonizacyjne (HD)”, zgodnie z ogólnymi zasadami działania tych organizacji.</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przedmiarze robót</w:t>
      </w:r>
      <w:r>
        <w:rPr>
          <w:rFonts w:eastAsia="Times New Roman" w:cs="Times New Roman" w:ascii="Times New Roman" w:hAnsi="Times New Roman"/>
          <w:color w:val="auto"/>
          <w:sz w:val="22"/>
          <w:szCs w:val="22"/>
        </w:rPr>
        <w:t xml:space="preserve"> – to zestawienie przewidzianych do wykonania robót podstawowych w kolejności technologicznej ich wykonania, ze szczegółowym opisem lub wskazaniem podstaw ustalających szczegółowy opis, oraz wskazanie szczegółowych specyfikacji technicznych </w:t>
      </w:r>
    </w:p>
    <w:p>
      <w:pPr>
        <w:pStyle w:val="Normal"/>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rPr>
        <w:t>wykonania i odbioru robót budowlanych, z wyliczeniem i zestawieniem ilości jednostek przedmiarowych robót podstawowych.</w:t>
      </w:r>
    </w:p>
    <w:p>
      <w:pPr>
        <w:pStyle w:val="Normal"/>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robocie podstawowej</w:t>
      </w:r>
      <w:r>
        <w:rPr>
          <w:rFonts w:eastAsia="Times New Roman" w:cs="Times New Roman" w:ascii="Times New Roman" w:hAnsi="Times New Roman"/>
          <w:color w:val="auto"/>
          <w:sz w:val="22"/>
          <w:szCs w:val="22"/>
        </w:rPr>
        <w:t xml:space="preserve"> – minimalny zakres prac, które po wykonaniu są możliwe do odebrania pod względem ilości i wymogów jakościowych oraz uwzględniają przyjęty stopień scalenia robót.</w:t>
      </w:r>
    </w:p>
    <w:p>
      <w:pPr>
        <w:pStyle w:val="Normal"/>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color w:val="auto"/>
          <w:sz w:val="22"/>
          <w:szCs w:val="22"/>
          <w:u w:val="single"/>
        </w:rPr>
        <w:t>wspólnym Słowniku Zamówień</w:t>
      </w:r>
      <w:r>
        <w:rPr>
          <w:rFonts w:eastAsia="Times New Roman" w:cs="Times New Roman" w:ascii="Times New Roman" w:hAnsi="Times New Roman"/>
          <w:color w:val="auto"/>
          <w:sz w:val="22"/>
          <w:szCs w:val="22"/>
        </w:rPr>
        <w:t xml:space="preserve">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Zarządzającym realizacją umowy</w:t>
      </w:r>
      <w:r>
        <w:rPr>
          <w:rFonts w:eastAsia="Times New Roman" w:cs="Times New Roman" w:ascii="Times New Roman" w:hAnsi="Times New Roman"/>
          <w:color w:val="auto"/>
          <w:sz w:val="22"/>
          <w:szCs w:val="22"/>
        </w:rPr>
        <w:t xml:space="preserve">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408"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1.5 Ogólne wymagania dotyczące robót</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Wykonawca robót jest odpowiedzialny za jakość ich wykonania oraz za ich zgodność </w:t>
        <w:br/>
        <w:t>z dokumentacją projektową, SST i poleceniami Inspektora Nadzoru.</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1.5.1. Przekazanie terenu budowy</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Na Wykonawcy spoczywa odpowiedzialność za ochronę przekazanych mu punktów pomiarowych do chwili odbioru końcowego robót. Uszkodzone lub zniszczone punkty pomiarowe Wykonawca odtworzy i utrwali na własny koszt.</w:t>
      </w:r>
    </w:p>
    <w:p>
      <w:pPr>
        <w:pStyle w:val="Normal"/>
        <w:ind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1.5.2. Dokumentacja projektowa</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Przekazana dokumentacja projektowa ma zawierać opis, część graficzną, obliczenia i dokumenty, zgodne z wykazem podanym w szczegółowych warunkach umowy, dostarczoną przez Zamawiającego.</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1.5.3. Zgodność robót z dokumentacją projektową i SST</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Dokumentacja projektowa, SST oraz dodatkowe dokumenty przekazane Wykonawcy przez Inspektora Nadzoru stanowią załączniki do umowy, a wymagania wyszczególnione w choćby jednym z nich są obowiązujące dla Wykonawcy tak, jakby zawarte były w całej dokumentacji.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który dokona odpowiednich zmian i poprawek. W przypadku stwierdzenia ewentualnych rozbieżności podane na rysunku wielkości liczbowe wymiarów są ważniejsze od odczytu ze skali rysunków. Wszystkie wykonane roboty i dostarczone materiały mają być zgodne z dokumentacją projektową i SST. 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1.5.4. Zabezpieczenie terenu budowy</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wszelkie inne środki niezbędne do ochrony robót, wygody społeczności i innych. Koszt zabezpieczenia terenu budowy nie podlega odrębnej zapłacie i przyjmuje się, że jest włączony w cenę umowną.</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1.5.5. Ochrona środowiska w czasie wykonywania robót</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ma obowiązek znać i stosować w czasie prowadzenia robót wszelkie przepisy dotyczące ochrony środowiska naturalnego.</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 okresie trwania budowy i wykonywania robót wykończeniowych Wykonawca będzie: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pPr>
        <w:pStyle w:val="Normal"/>
        <w:ind w:start="70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Stosując się do tych wymagań, Wykonawca będzie miał szczególny wzgląd na:</w:t>
      </w:r>
    </w:p>
    <w:p>
      <w:pPr>
        <w:pStyle w:val="Normal"/>
        <w:numPr>
          <w:ilvl w:val="0"/>
          <w:numId w:val="1"/>
        </w:numPr>
        <w:tabs>
          <w:tab w:val="clear" w:pos="720"/>
          <w:tab w:val="left" w:pos="267" w:leader="none"/>
        </w:tabs>
        <w:ind w:hanging="267" w:start="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lokalizację baz, warsztatów, magazynów, składowisk i dróg dojazdowych,</w:t>
      </w:r>
    </w:p>
    <w:p>
      <w:pPr>
        <w:pStyle w:val="Normal"/>
        <w:numPr>
          <w:ilvl w:val="0"/>
          <w:numId w:val="1"/>
        </w:numPr>
        <w:tabs>
          <w:tab w:val="clear" w:pos="720"/>
          <w:tab w:val="left" w:pos="267" w:leader="none"/>
        </w:tabs>
        <w:ind w:hanging="267" w:start="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środki ostrożności i zabezpieczenia przed:</w:t>
      </w:r>
    </w:p>
    <w:p>
      <w:pPr>
        <w:pStyle w:val="Normal"/>
        <w:ind w:start="360"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zanieczyszczeniem zbiorników i cieków wodnych pyłami lub substancjami toksycznymi, zanieczyszczeniem powietrza pyłami i gazami, możliwością powstania pożaru.</w:t>
      </w:r>
    </w:p>
    <w:p>
      <w:pPr>
        <w:pStyle w:val="Normal"/>
        <w:ind w:hanging="12" w:start="72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360"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1.5.6. Ochrona przeciwpożarowa</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będzie przestrzegać przepisy ochrony przeciwpożarowej. Wykonawca będzie utrzymywać sprawny sprzęt przeciwpożarowy, wymagany odpowiednimi przepisami, na terenie baz produkcyjnych, w pomieszczeniach biurowych, mieszkalnych i magazynowych oraz w maszynach i pojazdach.</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1.5.7. Ochrona własności publicznej i prywatnej</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1.5.8. Bezpieczeństwo i higiena pracy</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1.5.9. Stosowanie się do prawa i innych przepisów</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b/>
          <w:i/>
          <w:i/>
          <w:color w:val="auto"/>
          <w:sz w:val="22"/>
          <w:szCs w:val="22"/>
        </w:rPr>
      </w:pPr>
      <w:r>
        <w:rPr>
          <w:rFonts w:eastAsia="Times New Roman" w:cs="Times New Roman" w:ascii="Times New Roman" w:hAnsi="Times New Roman"/>
          <w:b/>
          <w:color w:val="auto"/>
          <w:sz w:val="22"/>
          <w:szCs w:val="22"/>
        </w:rPr>
        <w:t>2. MATERIAŁY</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2.1 Źródła uzyskania materiałów do elementów konstrukcyjnych</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przedstawi Inspektorowi Nadzoru szczegółowe informacje dotyczące, zamawiania lub wydobywania materiałów i odpowiednie aprobaty techniczne lub świadectwa do zatwierdzenia przez Inspektora Nadzoru.</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zobowiązany jest do prowadzenia ciągłych badań określonych w SST w celu udokumentowania, że materiały uzyskane z dopuszczalnego źródła spełniają wymagania SST w czasie postępu robót. Pozostałe materiały budowlane powinny spełniać wymagania jakościowe określone Polskimi Normami, aprobatami technicznymi, o których mowa w Szczegółowych Specyfikacjach Technicznych (SST).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740"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2.2 Materiały nie odpowiadające wymaganiom jakościowym</w:t>
      </w:r>
    </w:p>
    <w:p>
      <w:pPr>
        <w:pStyle w:val="Normal"/>
        <w:ind w:firstLine="656"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Materiały nie odpowiadające wymaganiom jakościowym zostaną przez Wykonawcę wywiezione z terenu budowy, bądź złożone w miejscu wskazanym przez Inspektora Nadzoru. Każdy rodzaj robót, w którym znajdują się nie zbadane i nie zaakceptowane materiały, Wykonawca wykonuje na własne ryzyko, licząc się z jego nieprzyjęciem i niezapłaceniem.</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680"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2.3 Przechowywanie i składowanie materiałów</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700"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2.4 Wariantowe stosowanie materiałów</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b/>
          <w:color w:val="auto"/>
          <w:sz w:val="22"/>
          <w:szCs w:val="22"/>
        </w:rPr>
        <w:t>3. SPRZĘT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kopię dokumentów potwierdzających dopuszczenie sprzętu do użytkowania, tam gdzie jest to wymagane przepisami. 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20" w:end="0"/>
        <w:jc w:val="both"/>
        <w:rPr>
          <w:rFonts w:ascii="Times New Roman" w:hAnsi="Times New Roman" w:eastAsia="Times New Roman" w:cs="Times New Roman"/>
          <w:b/>
          <w:i/>
          <w:i/>
          <w:color w:val="auto"/>
          <w:sz w:val="22"/>
          <w:szCs w:val="22"/>
        </w:rPr>
      </w:pPr>
      <w:r>
        <w:rPr>
          <w:rFonts w:eastAsia="Times New Roman" w:cs="Times New Roman" w:ascii="Times New Roman" w:hAnsi="Times New Roman"/>
          <w:b/>
          <w:color w:val="auto"/>
          <w:sz w:val="22"/>
          <w:szCs w:val="22"/>
        </w:rPr>
        <w:t>4. TRANSPORT</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4.1 Ogólne wymagania dotyczące transportu</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Inspektora Nadzoru w terminie przewidzianym w umowie.</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4.2 Wymagania dotyczące przewozu po drogach publicznych</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będzie usuwać na bieżąco, na własny koszt, wszelkie zanieczyszczenia spowodowane jego pojazdami na drogach publicznych oraz dojazdach do terenu budowy.</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bookmarkStart w:id="9" w:name="page11"/>
      <w:bookmarkStart w:id="10" w:name="page10"/>
      <w:bookmarkStart w:id="11" w:name="page9"/>
      <w:bookmarkStart w:id="12" w:name="page8"/>
      <w:bookmarkStart w:id="13" w:name="page7"/>
      <w:bookmarkStart w:id="14" w:name="page6"/>
      <w:bookmarkStart w:id="15" w:name="page11"/>
      <w:bookmarkStart w:id="16" w:name="page10"/>
      <w:bookmarkStart w:id="17" w:name="page9"/>
      <w:bookmarkStart w:id="18" w:name="page8"/>
      <w:bookmarkStart w:id="19" w:name="page7"/>
      <w:bookmarkStart w:id="20" w:name="page6"/>
      <w:bookmarkEnd w:id="15"/>
      <w:bookmarkEnd w:id="16"/>
      <w:bookmarkEnd w:id="17"/>
      <w:bookmarkEnd w:id="18"/>
      <w:bookmarkEnd w:id="19"/>
      <w:bookmarkEnd w:id="20"/>
    </w:p>
    <w:p>
      <w:pPr>
        <w:pStyle w:val="Normal"/>
        <w:ind w:firstLine="360" w:end="0"/>
        <w:jc w:val="both"/>
        <w:rPr>
          <w:rFonts w:ascii="Times New Roman" w:hAnsi="Times New Roman" w:eastAsia="Times New Roman" w:cs="Times New Roman"/>
          <w:b/>
          <w:color w:val="auto"/>
          <w:sz w:val="22"/>
          <w:szCs w:val="22"/>
        </w:rPr>
      </w:pPr>
      <w:r>
        <w:rPr>
          <w:rFonts w:eastAsia="Times New Roman" w:cs="Times New Roman" w:ascii="Times New Roman" w:hAnsi="Times New Roman"/>
          <w:b/>
          <w:color w:val="auto"/>
          <w:sz w:val="22"/>
          <w:szCs w:val="22"/>
        </w:rPr>
        <w:t>5. WYKONANIE ROBÓT</w:t>
      </w:r>
    </w:p>
    <w:p>
      <w:pPr>
        <w:pStyle w:val="Normal"/>
        <w:jc w:val="both"/>
        <w:rPr>
          <w:rFonts w:ascii="Times New Roman" w:hAnsi="Times New Roman" w:eastAsia="Times New Roman" w:cs="Times New Roman"/>
          <w:b/>
          <w:color w:val="auto"/>
          <w:sz w:val="22"/>
          <w:szCs w:val="22"/>
        </w:rPr>
      </w:pPr>
      <w:r>
        <w:rPr>
          <w:rFonts w:eastAsia="Times New Roman" w:cs="Times New Roman" w:ascii="Times New Roman" w:hAnsi="Times New Roman"/>
          <w:b/>
          <w:color w:val="auto"/>
          <w:sz w:val="22"/>
          <w:szCs w:val="22"/>
        </w:rPr>
      </w:r>
    </w:p>
    <w:p>
      <w:pPr>
        <w:pStyle w:val="Normal"/>
        <w:ind w:start="360"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5.1 Ogólne zasady wykonywania robót</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jest odpowiedzialny za prowadzenie robót zgodnie z umową robót, oraz za jakość zastosowanych materiałów i wykonywanych Robót, za ich zgodność z projektem budowlanym, wymaganiami specyfikacji technicznych i poleceniami Inspektora Nadzoru. Decyzje Inspektora Nadzoru dotyczące akceptacji lub odrzucenia materiałów i elementów robót będą oparte na wymaganiach sformułowanych w umowie, projekcie wykonawczym i szczegółowych specyfikacjach technicznych, a także w normach i wytycznych wykonania i odbioru robót. Przy podejmowaniu decyzji Inspektor Nadzoru uwzględnia wyniki badań materiałów i jakości robót, dopuszczalne niedokładności normalnie występujące przy produkcji i przy badaniach materiałów, doświadczenia z przeszłości, wyniki badań naukowych oraz inne czynniki wpływające na rozważaną kwestię. Polecenia Inspektora Nadzoru będą wykonywane nie później niż w czasie przez niego wyznaczonym, po ich otrzymaniu przez wykonawcę, pod groźbą wstrzymania robót. Skutki finansowe z tego tytułu poniesie wykonawca.</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360"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5.2 Teren budowy</w:t>
      </w:r>
    </w:p>
    <w:p>
      <w:pPr>
        <w:pStyle w:val="Normal"/>
        <w:ind w:firstLine="720"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Na terenie budowy wykonywane będą: roboty budowlane wg obowiązujących przepisów BHP i przyjętego harmonogramu rzeczowo finansowego a także wg opracowanego przez kierownika budowy Informacji BIOZ.</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36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5.3 Przekazanie terenu budowy</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Inwestor, w terminie określonym w warunkach umowy szczegółowej, przekaże Kierownikowi budowy plac budowy wraz ze wszystkimi wymaganymi uzgodnieniami prawnymi administracyjnymi, Dziennik Budowy oraz Dokumentację techniczną wraz ze specyfikacją techniczną.</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42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5.4 Ochrona i utrzymanie terenu budowy</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będzie odpowiedzialny za ochronę placu budowy oraz wszystkich materiałów i elementów wyposażenia użytych do realizacji robót od chwili rozpoczęcia do ostatecznego odbioru robót. Wykonawca umieści w miejscu określonym przez zarządzającego tablicę informacyjną. Wykonawca jest zobowiązany do zabezpieczenia terenu budowy w okresie trwania realizacji inwestycji, aż do zakończenia i odbioru końcowego robót. Koszt zabezpieczenia terenu budowy nie podlega odrębnej zapłacie i przyjmuje się, że jest włączony w cenę umowną.</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36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5.5 Ochrona własności i urządzeń</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jest odpowiedzialny za ochronę istniejących instalacji i urządzeń. Wykonawca będzie odpowiedzialny za jakiejkolwiek szkody, spowodowane przez jego działania.</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36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5.6 Ochrona środowiska w trakcie realizacji robót</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ma obowiązek znać i stosować w czasie prowadzenia robót wszelkie przepisy dotyczące ochrony środowiska naturalnego.</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36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5.7 Zapewnienie bezpieczeństwa i ochrony zdrowia</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dostarczy na budowę i będzie utrzymywał wyposażenie konieczne dla zapewnienia bezpieczeństwa. Zapewni wyposażenie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 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36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5.8 Program zapewnienia bezpieczeństwa i ochrony zdrowia</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 trakcie realizacji robót wykonawca będzie stosował się do wszystkich obowiązujących przepisów i wymagań w zakresie bezpieczeństwa i ochrony zdrowia.</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0" w:start="7" w:end="0"/>
        <w:jc w:val="both"/>
        <w:rPr>
          <w:rFonts w:ascii="Times New Roman" w:hAnsi="Times New Roman" w:eastAsia="Times New Roman" w:cs="Times New Roman"/>
          <w:b/>
          <w:color w:val="auto"/>
          <w:sz w:val="22"/>
          <w:szCs w:val="22"/>
        </w:rPr>
      </w:pPr>
      <w:r>
        <w:rPr>
          <w:rFonts w:eastAsia="Times New Roman" w:cs="Times New Roman" w:ascii="Times New Roman" w:hAnsi="Times New Roman"/>
          <w:b/>
          <w:color w:val="auto"/>
          <w:sz w:val="22"/>
          <w:szCs w:val="22"/>
        </w:rPr>
        <w:t>6.KONTROLA JAKOŚCI ROBÓT</w:t>
      </w:r>
    </w:p>
    <w:p>
      <w:pPr>
        <w:pStyle w:val="Normal"/>
        <w:jc w:val="both"/>
        <w:rPr>
          <w:rFonts w:ascii="Times New Roman" w:hAnsi="Times New Roman" w:eastAsia="Times New Roman" w:cs="Times New Roman"/>
          <w:b/>
          <w:color w:val="auto"/>
          <w:sz w:val="22"/>
          <w:szCs w:val="22"/>
        </w:rPr>
      </w:pPr>
      <w:r>
        <w:rPr>
          <w:rFonts w:eastAsia="Times New Roman" w:cs="Times New Roman" w:ascii="Times New Roman" w:hAnsi="Times New Roman"/>
          <w:b/>
          <w:color w:val="auto"/>
          <w:sz w:val="22"/>
          <w:szCs w:val="22"/>
        </w:rPr>
      </w:r>
    </w:p>
    <w:p>
      <w:pPr>
        <w:pStyle w:val="Normal"/>
        <w:ind w:firstLine="700"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6.1 Program zapewnienia jakości</w:t>
      </w:r>
    </w:p>
    <w:p>
      <w:pPr>
        <w:pStyle w:val="Normal"/>
        <w:ind w:firstLine="70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i SST.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Program zapewnienia jakości winien zawierać:</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organizację wykonania robót, w tym termin i sposób prowadzenia robót,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organizację ruchu na budowie wraz z oznakowaniem robót,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plan bezpieczeństwa i ochrony zdrowia,</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wykaz zespołów roboczych, ich kwalifikacje i przygotowanie praktyczne,</w:t>
      </w:r>
    </w:p>
    <w:p>
      <w:pPr>
        <w:pStyle w:val="Normal"/>
        <w:numPr>
          <w:ilvl w:val="0"/>
          <w:numId w:val="2"/>
        </w:numPr>
        <w:tabs>
          <w:tab w:val="clear" w:pos="720"/>
          <w:tab w:val="left" w:pos="231" w:leader="none"/>
        </w:tabs>
        <w:ind w:hanging="7"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wykaz osób odpowiedzialnych za jakość i terminowość wykonania poszczególnych elementów robót,</w:t>
      </w:r>
    </w:p>
    <w:p>
      <w:pPr>
        <w:pStyle w:val="Normal"/>
        <w:numPr>
          <w:ilvl w:val="0"/>
          <w:numId w:val="2"/>
        </w:numPr>
        <w:tabs>
          <w:tab w:val="clear" w:pos="720"/>
          <w:tab w:val="left" w:pos="187" w:leader="none"/>
        </w:tabs>
        <w:ind w:hanging="187" w:start="18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system (sposób i procedurę) proponowanej kontroli i sterowania jakością wykonywanych robót,</w:t>
      </w:r>
    </w:p>
    <w:p>
      <w:pPr>
        <w:pStyle w:val="Normal"/>
        <w:numPr>
          <w:ilvl w:val="0"/>
          <w:numId w:val="2"/>
        </w:numPr>
        <w:tabs>
          <w:tab w:val="clear" w:pos="720"/>
          <w:tab w:val="left" w:pos="187" w:leader="none"/>
        </w:tabs>
        <w:ind w:hanging="187" w:start="18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wyposażenie w sprzęt i urządzenia do pomiarów i kontroli</w:t>
      </w:r>
    </w:p>
    <w:p>
      <w:pPr>
        <w:pStyle w:val="Normal"/>
        <w:numPr>
          <w:ilvl w:val="0"/>
          <w:numId w:val="2"/>
        </w:numPr>
        <w:tabs>
          <w:tab w:val="clear" w:pos="720"/>
          <w:tab w:val="left" w:pos="276" w:leader="none"/>
        </w:tabs>
        <w:ind w:hanging="7"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wykaz maszyn i urządzeń stosowanych na budowie z ich parametrami technicznymi oraz wyposażeniem w mechanizmy do sterowania i urządzenia pomiarowo-kontrolne,</w:t>
      </w:r>
    </w:p>
    <w:p>
      <w:pPr>
        <w:pStyle w:val="Normal"/>
        <w:ind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rodzaje i ilość środków transportu oraz urządzeń do magazynowania i załadunku materiałów, spoiw, lepiszczy, kruszyw itp.,</w:t>
      </w:r>
    </w:p>
    <w:p>
      <w:pPr>
        <w:pStyle w:val="Normal"/>
        <w:numPr>
          <w:ilvl w:val="0"/>
          <w:numId w:val="2"/>
        </w:numPr>
        <w:tabs>
          <w:tab w:val="clear" w:pos="720"/>
          <w:tab w:val="left" w:pos="252" w:leader="none"/>
        </w:tabs>
        <w:ind w:hanging="7"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sposób i procedurę pomiarów i badań (rodzaj i częstotliwość, pobieranie próbek, legalizacja i sprawdzanie urządzeń itp.) prowadzonych podczas dostaw materiałów, wytwarzania mieszanek i wykonywania poszczególnych elementów robót.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15"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6.2 Zasady kontroli jakości robót</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jest odpowiedzialny za pełną kontrolę jakości robót i stosowanych materiałów. Wykonawca zapewni odpowiedni system kontroli. 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SST. W przypadku, gdy nie zostały one tam określone, Inspektor Nadzoru ustali jaki zakres kontroli jest konieczny, aby zapewnić wykonanie robót zgodnie z umową.</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6.3 Badania i pomiary</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6.4 Raporty z badań</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6.5 Badania prowadzone przez Inspektora Nadzoru</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 Inspektor Nadzoru, po uprzedniej weryfikacji systemu kontroli robót prowadzonego przez Wykonawcę, będzie oceniać zgodność materiałów i robót z wymaganiami SST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0"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6.6 Certyfikaty i deklaracje</w:t>
      </w:r>
    </w:p>
    <w:p>
      <w:pPr>
        <w:pStyle w:val="Normal"/>
        <w:ind w:start="70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Inspektor Nadzoru może dopuścić do użycia tylko te wyroby i materiały, które:</w:t>
      </w:r>
    </w:p>
    <w:p>
      <w:pPr>
        <w:pStyle w:val="Normal"/>
        <w:numPr>
          <w:ilvl w:val="0"/>
          <w:numId w:val="9"/>
        </w:numPr>
        <w:tabs>
          <w:tab w:val="clear" w:pos="720"/>
          <w:tab w:val="left" w:pos="715" w:leader="none"/>
        </w:tabs>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pPr>
        <w:pStyle w:val="Normal"/>
        <w:numPr>
          <w:ilvl w:val="0"/>
          <w:numId w:val="9"/>
        </w:numPr>
        <w:tabs>
          <w:tab w:val="clear" w:pos="720"/>
          <w:tab w:val="left" w:pos="715" w:leader="none"/>
        </w:tabs>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posiadają deklarację zgodności lub certyfikat zgodności z: Polską Normą lub aprobatą techniczną, w przypadku wyrobów, dla których nie ustanowiono Polskiej Normy, jeżeli nie są objęte certyfikacją określoną w pkt. 1 i które spełniają wymogi SST.</w:t>
      </w:r>
    </w:p>
    <w:p>
      <w:pPr>
        <w:pStyle w:val="Normal"/>
        <w:numPr>
          <w:ilvl w:val="0"/>
          <w:numId w:val="9"/>
        </w:numPr>
        <w:tabs>
          <w:tab w:val="clear" w:pos="720"/>
          <w:tab w:val="left" w:pos="715" w:leader="none"/>
        </w:tabs>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znajdują się w wykazie wyrobów, o którym mowa w rozporządzeniu MSWiA z 1998 r. (Dz. U. 98/99). 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353" w:start="7"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b/>
          <w:i/>
          <w:color w:val="auto"/>
          <w:sz w:val="22"/>
          <w:szCs w:val="22"/>
        </w:rPr>
        <w:t>6.7 Dokumenty budowy</w:t>
      </w:r>
    </w:p>
    <w:p>
      <w:pPr>
        <w:pStyle w:val="Normal"/>
        <w:ind w:firstLine="353"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6.7.1. Dziennik budowy</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pPr>
        <w:pStyle w:val="Normal"/>
        <w:ind w:start="70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Do dziennika budowy należy wpisywać w szczególności:</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datę przekazania Wykonawcy terenu budowy,</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datę przekazania przez Zamawiającego dokumentacji projektowej,</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uzgodnienie przez Inspektora Nadzoru programu zapewnienia jakości i harmonogramów robót,</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terminy rozpoczęcia i zakończenia poszczególnych elementów robót,</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przebieg robót, trudności i przeszkody w ich prowadzeniu, okresy i przyczyny przerw w robotach,</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uwagi i polecenia Inspektora Nadzoru,</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daty zarządzenia wstrzymania robót, z podaniem powodu,</w:t>
      </w:r>
    </w:p>
    <w:p>
      <w:pPr>
        <w:pStyle w:val="Normal"/>
        <w:numPr>
          <w:ilvl w:val="0"/>
          <w:numId w:val="3"/>
        </w:numPr>
        <w:tabs>
          <w:tab w:val="clear" w:pos="720"/>
          <w:tab w:val="left" w:pos="153" w:leader="none"/>
        </w:tabs>
        <w:ind w:hanging="7"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zgłoszenia i daty odbiorów robót zanikających i ulegających zakryciu, częściowych i ostatecznych odbiorów robót,</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wyjaśnienia, uwagi i propozycje Wykonawcy,</w:t>
      </w:r>
    </w:p>
    <w:p>
      <w:pPr>
        <w:pStyle w:val="Normal"/>
        <w:numPr>
          <w:ilvl w:val="0"/>
          <w:numId w:val="3"/>
        </w:numPr>
        <w:tabs>
          <w:tab w:val="clear" w:pos="720"/>
          <w:tab w:val="left" w:pos="161" w:leader="none"/>
        </w:tabs>
        <w:ind w:hanging="7"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stan pogody i temperaturę powietrza w okresie wykonywania robót podlegających ograniczeniom lub wymaganiom w związku z warunkami klimatycznymi,</w:t>
      </w:r>
    </w:p>
    <w:p>
      <w:pPr>
        <w:pStyle w:val="Normal"/>
        <w:numPr>
          <w:ilvl w:val="0"/>
          <w:numId w:val="3"/>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zgodność rzeczywistych warunków geotechnicznych z ich opisem w dokumentacji projektowej,</w:t>
      </w:r>
    </w:p>
    <w:p>
      <w:pPr>
        <w:pStyle w:val="Normal"/>
        <w:numPr>
          <w:ilvl w:val="0"/>
          <w:numId w:val="4"/>
        </w:numPr>
        <w:tabs>
          <w:tab w:val="clear" w:pos="720"/>
          <w:tab w:val="left" w:pos="240" w:leader="none"/>
        </w:tabs>
        <w:ind w:hanging="7"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dane dotyczące czynności geodezyjnych (pomiarowych) dokonywanych przed i w trakcie wykonywania robót,</w:t>
      </w:r>
    </w:p>
    <w:p>
      <w:pPr>
        <w:pStyle w:val="Normal"/>
        <w:numPr>
          <w:ilvl w:val="0"/>
          <w:numId w:val="4"/>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dane dotyczące sposobu wykonywania zabezpieczenia robót,</w:t>
      </w:r>
    </w:p>
    <w:p>
      <w:pPr>
        <w:pStyle w:val="Normal"/>
        <w:numPr>
          <w:ilvl w:val="0"/>
          <w:numId w:val="4"/>
        </w:numPr>
        <w:tabs>
          <w:tab w:val="clear" w:pos="720"/>
          <w:tab w:val="left" w:pos="209" w:leader="none"/>
        </w:tabs>
        <w:ind w:hanging="7"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dane dotyczące jakości materiałów, pobierania próbek oraz wyniki przeprowadzonych badań z podaniem kto je przeprowadzał,</w:t>
      </w:r>
    </w:p>
    <w:p>
      <w:pPr>
        <w:pStyle w:val="Normal"/>
        <w:numPr>
          <w:ilvl w:val="0"/>
          <w:numId w:val="4"/>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wyniki prób poszczególnych elementów budowli z podaniem kto je przeprowadzał,</w:t>
      </w:r>
    </w:p>
    <w:p>
      <w:pPr>
        <w:pStyle w:val="Normal"/>
        <w:numPr>
          <w:ilvl w:val="0"/>
          <w:numId w:val="4"/>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inne istotne informacje o przebiegu robót.</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robót.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6.7.2. Książka obmiarów</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Książka obmiarów stanowi dokument pozwalający na rozliczenie faktycznego postępu każdego z elementów robót. Obmiary wykonanych robót przeprowadza się sukcesywnie w jednostkach przyjętych w kosztorysie lub w SST.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6.7.3. Pozostałe dokumenty budowy</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Do dokumentów budowy zalicza się, oprócz wymienionych w punktach 6.7.1. i 6.7.2., następujące dokumenty:</w:t>
      </w:r>
    </w:p>
    <w:p>
      <w:pPr>
        <w:pStyle w:val="Normal"/>
        <w:numPr>
          <w:ilvl w:val="0"/>
          <w:numId w:val="5"/>
        </w:numPr>
        <w:tabs>
          <w:tab w:val="clear" w:pos="720"/>
          <w:tab w:val="left" w:pos="247" w:leader="none"/>
        </w:tabs>
        <w:ind w:hanging="247" w:start="2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pozwolenie na budowę lub zgłoszenie robót budowlanych jeżeli jest wymagane,</w:t>
      </w:r>
    </w:p>
    <w:p>
      <w:pPr>
        <w:pStyle w:val="Normal"/>
        <w:numPr>
          <w:ilvl w:val="0"/>
          <w:numId w:val="5"/>
        </w:numPr>
        <w:tabs>
          <w:tab w:val="clear" w:pos="720"/>
          <w:tab w:val="left" w:pos="267" w:leader="none"/>
        </w:tabs>
        <w:ind w:hanging="267" w:start="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protokoły przekazania terenu budowy,</w:t>
      </w:r>
    </w:p>
    <w:p>
      <w:pPr>
        <w:pStyle w:val="Normal"/>
        <w:numPr>
          <w:ilvl w:val="0"/>
          <w:numId w:val="5"/>
        </w:numPr>
        <w:tabs>
          <w:tab w:val="clear" w:pos="720"/>
          <w:tab w:val="left" w:pos="247" w:leader="none"/>
        </w:tabs>
        <w:ind w:hanging="247" w:start="2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umowy cywilnoprawne z osobami trzecimi,</w:t>
      </w:r>
    </w:p>
    <w:p>
      <w:pPr>
        <w:pStyle w:val="Normal"/>
        <w:numPr>
          <w:ilvl w:val="0"/>
          <w:numId w:val="5"/>
        </w:numPr>
        <w:tabs>
          <w:tab w:val="clear" w:pos="720"/>
          <w:tab w:val="left" w:pos="267" w:leader="none"/>
        </w:tabs>
        <w:ind w:hanging="267" w:start="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protokoły odbioru robót,</w:t>
      </w:r>
    </w:p>
    <w:p>
      <w:pPr>
        <w:pStyle w:val="Normal"/>
        <w:numPr>
          <w:ilvl w:val="0"/>
          <w:numId w:val="5"/>
        </w:numPr>
        <w:tabs>
          <w:tab w:val="clear" w:pos="720"/>
          <w:tab w:val="left" w:pos="247" w:leader="none"/>
        </w:tabs>
        <w:ind w:hanging="247" w:start="2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protokoły z narad i ustaleń,</w:t>
      </w:r>
    </w:p>
    <w:p>
      <w:pPr>
        <w:pStyle w:val="Normal"/>
        <w:numPr>
          <w:ilvl w:val="0"/>
          <w:numId w:val="5"/>
        </w:numPr>
        <w:tabs>
          <w:tab w:val="clear" w:pos="720"/>
          <w:tab w:val="left" w:pos="227" w:leader="none"/>
        </w:tabs>
        <w:ind w:hanging="227" w:start="22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operaty geodezyjne,</w:t>
      </w:r>
    </w:p>
    <w:p>
      <w:pPr>
        <w:pStyle w:val="Normal"/>
        <w:numPr>
          <w:ilvl w:val="0"/>
          <w:numId w:val="5"/>
        </w:numPr>
        <w:tabs>
          <w:tab w:val="clear" w:pos="720"/>
          <w:tab w:val="left" w:pos="267" w:leader="none"/>
        </w:tabs>
        <w:ind w:hanging="267" w:start="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plan bezpieczeństwa i ochrony zdrowia.</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260"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6.7.4. Przechowywanie dokumentów budowy</w:t>
      </w:r>
    </w:p>
    <w:p>
      <w:pPr>
        <w:pStyle w:val="Normal"/>
        <w:ind w:firstLine="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7" w:end="0"/>
        <w:jc w:val="both"/>
        <w:rPr>
          <w:rFonts w:ascii="Times New Roman" w:hAnsi="Times New Roman" w:eastAsia="Times New Roman" w:cs="Times New Roman"/>
          <w:b/>
          <w:color w:val="auto"/>
          <w:sz w:val="22"/>
          <w:szCs w:val="22"/>
        </w:rPr>
      </w:pPr>
      <w:r>
        <w:rPr>
          <w:rFonts w:eastAsia="Times New Roman" w:cs="Times New Roman" w:ascii="Times New Roman" w:hAnsi="Times New Roman"/>
          <w:b/>
          <w:color w:val="auto"/>
          <w:sz w:val="22"/>
          <w:szCs w:val="22"/>
        </w:rPr>
        <w:t>7. OBMIAR ROBÓT</w:t>
      </w:r>
    </w:p>
    <w:p>
      <w:pPr>
        <w:pStyle w:val="Normal"/>
        <w:jc w:val="both"/>
        <w:rPr>
          <w:rFonts w:ascii="Times New Roman" w:hAnsi="Times New Roman" w:eastAsia="Times New Roman" w:cs="Times New Roman"/>
          <w:b/>
          <w:color w:val="auto"/>
          <w:sz w:val="22"/>
          <w:szCs w:val="22"/>
        </w:rPr>
      </w:pPr>
      <w:r>
        <w:rPr>
          <w:rFonts w:eastAsia="Times New Roman" w:cs="Times New Roman" w:ascii="Times New Roman" w:hAnsi="Times New Roman"/>
          <w:b/>
          <w:color w:val="auto"/>
          <w:sz w:val="22"/>
          <w:szCs w:val="22"/>
        </w:rPr>
      </w:r>
    </w:p>
    <w:p>
      <w:pPr>
        <w:pStyle w:val="Normal"/>
        <w:ind w:start="6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7.1 Ogólne zasady obmiaru robót</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Obmiar robót będzie określać faktyczny zakres wykonywanych robót, zgodnie z dokumentacją projektową i SST, w jednostkach ustalonych w kosztorysie. Obmiaru robót dokonuje Wykonawca po pisemnym powiadomieniu Inspektora Nadzoru o zakresie obmierzanych robót i terminie obmiaru, co najmniej na 3 dni przed tym terminem. Wyniki obmiaru będą wpisane do książki obmiarów. 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7.2 Zasady określania ilości robót i materiałów</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Zasady określania ilości robót podane są w odpowiednich specyfikacjach technicznych i lub w KNR-ach oraz KNNR-ach. Jednostki obmiaru powinny być zgodnie z jednostkami określonymi w dokumentacji projektowej i przedmiarze robót.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648" w:start="6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7.3 Urządzenia i sprzęt pomiarowy</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b/>
          <w:i/>
          <w:i/>
          <w:color w:val="auto"/>
          <w:sz w:val="22"/>
          <w:szCs w:val="22"/>
        </w:rPr>
      </w:pPr>
      <w:r>
        <w:rPr>
          <w:rFonts w:eastAsia="Times New Roman" w:cs="Times New Roman" w:ascii="Times New Roman" w:hAnsi="Times New Roman"/>
          <w:b/>
          <w:color w:val="auto"/>
          <w:sz w:val="22"/>
          <w:szCs w:val="22"/>
        </w:rPr>
        <w:t>8. ODBIÓR ROBÓT</w:t>
      </w:r>
    </w:p>
    <w:p>
      <w:pPr>
        <w:pStyle w:val="Normal"/>
        <w:ind w:firstLine="700"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8.1 Rodzaje odbiorów robót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 zależności od ustaleń odpowiednich SST, roboty podlegają następującym odbiorom:</w:t>
      </w:r>
    </w:p>
    <w:p>
      <w:pPr>
        <w:pStyle w:val="Normal"/>
        <w:numPr>
          <w:ilvl w:val="0"/>
          <w:numId w:val="6"/>
        </w:numPr>
        <w:tabs>
          <w:tab w:val="clear" w:pos="720"/>
          <w:tab w:val="left" w:pos="247" w:leader="none"/>
        </w:tabs>
        <w:ind w:hanging="247" w:start="2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odbiorowi robót zanikających i ulegających zakryciu,</w:t>
      </w:r>
    </w:p>
    <w:p>
      <w:pPr>
        <w:pStyle w:val="Normal"/>
        <w:numPr>
          <w:ilvl w:val="0"/>
          <w:numId w:val="6"/>
        </w:numPr>
        <w:tabs>
          <w:tab w:val="clear" w:pos="720"/>
          <w:tab w:val="left" w:pos="267" w:leader="none"/>
        </w:tabs>
        <w:ind w:hanging="267" w:start="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odbiorowi częściowemu,</w:t>
      </w:r>
    </w:p>
    <w:p>
      <w:pPr>
        <w:pStyle w:val="Normal"/>
        <w:numPr>
          <w:ilvl w:val="0"/>
          <w:numId w:val="6"/>
        </w:numPr>
        <w:tabs>
          <w:tab w:val="clear" w:pos="720"/>
          <w:tab w:val="left" w:pos="247" w:leader="none"/>
        </w:tabs>
        <w:ind w:hanging="247" w:start="2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odbiorowi ostatecznemu (końcowemu),</w:t>
      </w:r>
    </w:p>
    <w:p>
      <w:pPr>
        <w:pStyle w:val="Normal"/>
        <w:numPr>
          <w:ilvl w:val="0"/>
          <w:numId w:val="6"/>
        </w:numPr>
        <w:tabs>
          <w:tab w:val="clear" w:pos="720"/>
          <w:tab w:val="left" w:pos="267" w:leader="none"/>
        </w:tabs>
        <w:ind w:hanging="267" w:start="26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odbiorowi po upływie okresu rękojmi</w:t>
      </w:r>
    </w:p>
    <w:p>
      <w:pPr>
        <w:pStyle w:val="Normal"/>
        <w:numPr>
          <w:ilvl w:val="0"/>
          <w:numId w:val="6"/>
        </w:numPr>
        <w:tabs>
          <w:tab w:val="clear" w:pos="720"/>
          <w:tab w:val="left" w:pos="247" w:leader="none"/>
        </w:tabs>
        <w:ind w:hanging="247" w:start="2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odbiorowi pogwarancyjnemu po upływie okresu gwarancji.</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240"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8.2 Odbiór robót zanikających i ulegających zakryciu</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8.3 Odbiór częściowy</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15" w:end="0"/>
        <w:jc w:val="both"/>
        <w:rPr>
          <w:rFonts w:ascii="Times New Roman" w:hAnsi="Times New Roman" w:eastAsia="Times New Roman" w:cs="Times New Roman"/>
          <w:color w:val="auto"/>
          <w:sz w:val="22"/>
          <w:szCs w:val="22"/>
          <w:u w:val="single"/>
        </w:rPr>
      </w:pPr>
      <w:r>
        <w:rPr>
          <w:rFonts w:eastAsia="Times New Roman" w:cs="Times New Roman" w:ascii="Times New Roman" w:hAnsi="Times New Roman"/>
          <w:b/>
          <w:i/>
          <w:color w:val="auto"/>
          <w:sz w:val="22"/>
          <w:szCs w:val="22"/>
        </w:rPr>
        <w:t>8.4 Odbiór ostateczny (końcowy)</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8.4.1. Zasady odbioru ostatecznego robót</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punkcie 7.4.2.</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w:t>
      </w:r>
    </w:p>
    <w:p>
      <w:pPr>
        <w:pStyle w:val="Normal"/>
        <w:ind w:firstLine="708"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u w:val="single"/>
        </w:rPr>
        <w:t>8.4.2. Dokumenty do odbioru ostatecznego (końcowe)</w:t>
      </w:r>
    </w:p>
    <w:p>
      <w:pPr>
        <w:pStyle w:val="Normal"/>
        <w:ind w:firstLine="708"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Podstawowym dokumentem jest protokół odbioru ostatecznego robót, sporządzony wg wzoru ustalonego przez Zamawiającego.</w:t>
      </w:r>
    </w:p>
    <w:p>
      <w:pPr>
        <w:pStyle w:val="Normal"/>
        <w:ind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Do odbioru ostatecznego Wykonawca jest zobowiązany przygotować następujące dokumenty:</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dokumentację  powykonawczą,  tj.  dokumentację  budowy  z  naniesionymi  zmianami dokonanymi w toku wykonania robót oraz geodezyjnymi pomiarami powykonawczymi,</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szczegółowe specyfikacje techniczne (podstawowe z dokumentów umowy i ewentualnie uzupełniające lub zamienne),</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protokoły odbiorów robót ulegających zakryciu i zanikających,</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protokoły odbiorów częściowych,</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ustalenia technologiczne,</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dzienniki budowy i książki obmiarów (oryginały),</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wyniki pomiarów kontrolnych oraz badań i oznaczeń laboratoryjnych, zgodne z SST i programem zapewnienia jakości (PZJ),</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deklaracje zgodności lub certyfikaty zgodności wbudowanych materiałów, certyfikaty na znak bezpieczeństwa zgodnie z SST i programem zabezpieczenia jakości (PZJ),</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rysunki (dokumentacje) na wykonanie robót towarzyszących (np. na przełożenie linii telefonicznej, energetycznej, gazowej, oświetlenia itp.) oraz protokoły odbioru i przekazania tych robót właścicielom urządzeń,</w:t>
      </w:r>
    </w:p>
    <w:p>
      <w:pPr>
        <w:pStyle w:val="Normal"/>
        <w:widowControl/>
        <w:numPr>
          <w:ilvl w:val="0"/>
          <w:numId w:val="8"/>
        </w:numPr>
        <w:tabs>
          <w:tab w:val="clear" w:pos="720"/>
          <w:tab w:val="left" w:pos="708" w:leader="none"/>
        </w:tabs>
        <w:suppressAutoHyphens w:val="true"/>
        <w:bidi w:val="0"/>
        <w:ind w:hanging="397"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geodezyjną inwentaryzację powykonawczą robót i sieci uzbrojenia terenu,</w:t>
      </w:r>
    </w:p>
    <w:p>
      <w:pPr>
        <w:pStyle w:val="Normal"/>
        <w:widowControl/>
        <w:tabs>
          <w:tab w:val="clear" w:pos="720"/>
          <w:tab w:val="left" w:pos="707" w:leader="none"/>
        </w:tabs>
        <w:suppressAutoHyphens w:val="true"/>
        <w:bidi w:val="0"/>
        <w:ind w:start="73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kopię mapy zasadniczej powstałej w wyniku geodezyjnej inwentaryzacji powykonawczej. 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8.5 Odbiór pogwarancyjny po upływie okresu rękojmi i gwarancji</w:t>
      </w:r>
    </w:p>
    <w:p>
      <w:pPr>
        <w:pStyle w:val="Normal"/>
        <w:ind w:firstLine="708"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Odbiór pogwarancyjny po upływie okresu rękojmi i gwarancji polega na ocenie wykonanych robót związanych z usunięciem wad, które ujawnią się w okresie rękojmi i gwarancji.</w:t>
      </w:r>
    </w:p>
    <w:p>
      <w:pPr>
        <w:pStyle w:val="Normal"/>
        <w:ind w:firstLine="708" w:start="7" w:end="0"/>
        <w:jc w:val="both"/>
        <w:rPr>
          <w:rFonts w:ascii="Times New Roman" w:hAnsi="Times New Roman" w:eastAsia="Times New Roman" w:cs="Times New Roman"/>
          <w:b/>
          <w:bCs/>
          <w:color w:val="auto"/>
          <w:sz w:val="22"/>
          <w:szCs w:val="22"/>
        </w:rPr>
      </w:pPr>
      <w:r>
        <w:rPr>
          <w:rFonts w:eastAsia="Times New Roman" w:cs="Times New Roman" w:ascii="Times New Roman" w:hAnsi="Times New Roman"/>
          <w:color w:val="auto"/>
          <w:sz w:val="22"/>
          <w:szCs w:val="22"/>
        </w:rPr>
        <w:t>Odbiór po upływie okresu rękojmi i gwarancji będzie dokonany na podstawie oceny wizualnej obiektu z uwzględnieniem zasad opisanych w punkcie 7.4. „Odbiór ostateczny robót(końcowy) robót”.</w:t>
      </w:r>
    </w:p>
    <w:p>
      <w:pPr>
        <w:pStyle w:val="Normal"/>
        <w:ind w:firstLine="708" w:start="7" w:end="20"/>
        <w:jc w:val="both"/>
        <w:rPr>
          <w:rFonts w:ascii="Times New Roman" w:hAnsi="Times New Roman" w:eastAsia="Times New Roman" w:cs="Times New Roman"/>
          <w:b/>
          <w:bCs/>
          <w:color w:val="auto"/>
          <w:sz w:val="22"/>
          <w:szCs w:val="22"/>
        </w:rPr>
      </w:pPr>
      <w:r>
        <w:rPr>
          <w:rFonts w:eastAsia="Times New Roman" w:cs="Times New Roman" w:ascii="Times New Roman" w:hAnsi="Times New Roman"/>
          <w:b/>
          <w:bCs/>
          <w:color w:val="auto"/>
          <w:sz w:val="22"/>
          <w:szCs w:val="22"/>
        </w:rPr>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color w:val="auto"/>
          <w:sz w:val="22"/>
          <w:szCs w:val="22"/>
        </w:rPr>
        <w:t>9. PODSTAWA PŁATNOŚCI</w:t>
      </w:r>
    </w:p>
    <w:p>
      <w:pPr>
        <w:pStyle w:val="Normal"/>
        <w:ind w:firstLine="708"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Podstawą płatności jest cena jednostkowa skalkulowana przez Wykonawcę za jednostkę obmiarową ustaloną dla danej pozycji przedmiaru przyjętą przez Zamawiającego w dokumentach umownych. Dla robót wycenionych ryczałtowo podstawą płatności jest wartość (kwota) podana przez Wykonawcę i przyjęta przez Zamawiającego w dokumentach umownych (ofercie). Cena jednostkowa pozycji kosztorysowej lub wynagrodzenie ryczałtowe będzie uwzględniać wszystkie czynności, wymagania i badania składające się na jej wykonanie, określone dla tej roboty w SST i w dokumentacji projektowej.</w:t>
      </w:r>
    </w:p>
    <w:p>
      <w:pPr>
        <w:pStyle w:val="Normal"/>
        <w:ind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Ceny jednostkowe lub wynagrodzenie ryczałtowe robót będą obejmować:</w:t>
      </w:r>
    </w:p>
    <w:p>
      <w:pPr>
        <w:pStyle w:val="Normal"/>
        <w:numPr>
          <w:ilvl w:val="0"/>
          <w:numId w:val="7"/>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robociznę bezpośrednią wraz z narzutami,</w:t>
      </w:r>
    </w:p>
    <w:p>
      <w:pPr>
        <w:pStyle w:val="Normal"/>
        <w:numPr>
          <w:ilvl w:val="0"/>
          <w:numId w:val="7"/>
        </w:numPr>
        <w:tabs>
          <w:tab w:val="clear" w:pos="720"/>
          <w:tab w:val="left" w:pos="180" w:leader="none"/>
        </w:tabs>
        <w:ind w:hanging="7"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wartość zużytych materiałów wraz z kosztami zakupu, magazynowania, ewentualnych ubytków i transportu na teren budowy,</w:t>
      </w:r>
    </w:p>
    <w:p>
      <w:pPr>
        <w:pStyle w:val="Normal"/>
        <w:numPr>
          <w:ilvl w:val="0"/>
          <w:numId w:val="7"/>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wartość pracy sprzętu wraz z narzutami,</w:t>
      </w:r>
    </w:p>
    <w:p>
      <w:pPr>
        <w:pStyle w:val="Normal"/>
        <w:numPr>
          <w:ilvl w:val="0"/>
          <w:numId w:val="7"/>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koszty pośrednie i zysk kalkulacyjny,</w:t>
      </w:r>
    </w:p>
    <w:p>
      <w:pPr>
        <w:pStyle w:val="Normal"/>
        <w:numPr>
          <w:ilvl w:val="0"/>
          <w:numId w:val="7"/>
        </w:numPr>
        <w:tabs>
          <w:tab w:val="clear" w:pos="720"/>
          <w:tab w:val="left" w:pos="147" w:leader="none"/>
        </w:tabs>
        <w:ind w:hanging="147" w:start="14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podatki obliczone zgodnie z obowiązującymi przepisami, ale z wyłączeniem podatku VAT.</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ind w:start="727" w:end="0"/>
        <w:jc w:val="both"/>
        <w:rPr>
          <w:rFonts w:ascii="Times New Roman" w:hAnsi="Times New Roman" w:eastAsia="Times New Roman" w:cs="Times New Roman"/>
          <w:b/>
          <w:i/>
          <w:i/>
          <w:color w:val="auto"/>
          <w:sz w:val="22"/>
          <w:szCs w:val="22"/>
        </w:rPr>
      </w:pPr>
      <w:r>
        <w:rPr>
          <w:rFonts w:eastAsia="Times New Roman" w:cs="Times New Roman" w:ascii="Times New Roman" w:hAnsi="Times New Roman"/>
          <w:b/>
          <w:color w:val="auto"/>
          <w:sz w:val="22"/>
          <w:szCs w:val="22"/>
        </w:rPr>
        <w:t>10. PRZEPISY ZWIĄZANE</w:t>
      </w:r>
    </w:p>
    <w:p>
      <w:pPr>
        <w:pStyle w:val="Normal"/>
        <w:ind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10.1 Ustawy</w:t>
      </w:r>
    </w:p>
    <w:p>
      <w:pPr>
        <w:pStyle w:val="Normal"/>
        <w:ind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Ustawa z dnia 7 lipca 1994 r. Prawo budowlane (z późn. zm.).</w:t>
      </w:r>
    </w:p>
    <w:p>
      <w:pPr>
        <w:pStyle w:val="Normal"/>
        <w:ind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Ustawa z dnia 11 września 2019 r. – Prawo zamówień publicznych (Dz. U. 2019, poz. 2019).</w:t>
      </w:r>
    </w:p>
    <w:p>
      <w:pPr>
        <w:pStyle w:val="Normal"/>
        <w:ind w:start="7" w:end="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Ustawa z dnia 16 kwietnia 2004 r. – o wyborach budowlanych (Dz. U. Nr 92, poz. 881).</w:t>
      </w:r>
    </w:p>
    <w:p>
      <w:pPr>
        <w:pStyle w:val="Normal"/>
        <w:ind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Ustawa z dnia 24 sierpnia 1991 r. – o ochronie przeciwpożarowej (jednolity tekst Dz. U. z 2002 r. Nr 147, poz. 1229 z późn zm.).</w:t>
      </w:r>
    </w:p>
    <w:p>
      <w:pPr>
        <w:pStyle w:val="Normal"/>
        <w:ind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Ustawa z dnia 21 grudnia 20004 r. – o dozorze technicznym (Dz. U. Nr 122, poz. 1321 z późn. zm.).</w:t>
      </w:r>
    </w:p>
    <w:p>
      <w:pPr>
        <w:pStyle w:val="Normal"/>
        <w:ind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Ustawa z dnia 27 kwietnia 2001 r. – Prawo ochrony środowiska (Dz. U. Nr 62, poz. 627 z późn. zm.).</w:t>
      </w:r>
    </w:p>
    <w:p>
      <w:pPr>
        <w:pStyle w:val="Normal"/>
        <w:ind w:start="7"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b/>
          <w:i/>
          <w:color w:val="auto"/>
          <w:sz w:val="22"/>
          <w:szCs w:val="22"/>
        </w:rPr>
        <w:t>10.2 Rozporządzenia</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Rozporządzenie Ministra Pracy i Polityki Społecznej z dnia 26 września 1997 r. – w sprawie ogólnych przepisów bezpieczeństwa i higieny pracy (Dz. U. Nr 169, poz. 1650).</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Rozporządzenie Ministra Infrastruktury z dnia 6 lutego 2003 r. – w sprawie bezpieczeństwa i higieny pracy podczas wykonywania robót budowlanych (Dz. U. Nr 47, poz. 401).</w:t>
      </w:r>
    </w:p>
    <w:p>
      <w:pPr>
        <w:pStyle w:val="Normal"/>
        <w:ind w:end="20"/>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Rozporządzenie Ministra Infrastruktury z dnia 23 czerwca 2003 r. – w sprawie informacji dotyczącej bezpieczeństwa i ochrony zdrowia oraz planu bezpieczeństwa i ochrony zdrowia (Dz. U. Nr 120, poz. 1126).</w:t>
      </w:r>
    </w:p>
    <w:p>
      <w:pPr>
        <w:pStyle w:val="Normal"/>
        <w:jc w:val="both"/>
        <w:rPr>
          <w:rFonts w:ascii="Times New Roman" w:hAnsi="Times New Roman" w:eastAsia="Times New Roman" w:cs="Times New Roman"/>
          <w:color w:val="auto"/>
          <w:sz w:val="22"/>
          <w:szCs w:val="22"/>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Rozporządzenie Ministra Rozwoju i Technologii z dnia 20 grudnia 2021 r. – w sprawie szczegółowego zakresu i formy dokumentacji projektowej, specyfikacji technicznych wykonania i odbioru robót budowlanych oraz programu funkcjonalno-użytkowego (poz. 2454).</w:t>
      </w:r>
    </w:p>
    <w:p>
      <w:pPr>
        <w:pStyle w:val="Normal"/>
        <w:jc w:val="both"/>
        <w:rPr>
          <w:color w:val="auto"/>
        </w:rPr>
      </w:pPr>
      <w:r>
        <w:rPr>
          <w:rFonts w:eastAsia="Times New Roman" w:cs="Times New Roman" w:ascii="Times New Roman" w:hAnsi="Times New Roman"/>
          <w:color w:val="auto"/>
          <w:sz w:val="22"/>
          <w:szCs w:val="22"/>
        </w:rPr>
        <w:t xml:space="preserve">– </w:t>
      </w:r>
      <w:r>
        <w:rPr>
          <w:rFonts w:eastAsia="Times New Roman" w:cs="Times New Roman" w:ascii="Times New Roman" w:hAnsi="Times New Roman"/>
          <w:color w:val="auto"/>
          <w:sz w:val="22"/>
          <w:szCs w:val="22"/>
        </w:rPr>
        <w:t>Rozporządzenie Ministra Infrastruktury i Budownictwa z dnia 6 grudnia 2016 r. – w sprawie sposobów deklarowania wyrobów budowlanych oraz sposobu znakowania ich znakiem budowlanym (poz. 1966).</w:t>
      </w:r>
    </w:p>
    <w:p>
      <w:pPr>
        <w:pStyle w:val="Normal"/>
        <w:jc w:val="both"/>
        <w:rPr>
          <w:color w:val="auto"/>
        </w:rPr>
      </w:pPr>
      <w:r>
        <w:rPr>
          <w:color w:val="auto"/>
        </w:rPr>
      </w:r>
    </w:p>
    <w:p>
      <w:pPr>
        <w:pStyle w:val="Normal"/>
        <w:jc w:val="both"/>
        <w:rPr>
          <w:rFonts w:ascii="Times New Roman" w:hAnsi="Times New Roman" w:eastAsia="Times New Roman" w:cs="Times New Roman"/>
          <w:b/>
          <w:bCs/>
          <w:color w:val="auto"/>
          <w:sz w:val="22"/>
          <w:szCs w:val="22"/>
        </w:rPr>
      </w:pPr>
      <w:r>
        <w:rPr>
          <w:rFonts w:eastAsia="Times New Roman" w:cs="Times New Roman" w:ascii="Times New Roman" w:hAnsi="Times New Roman"/>
          <w:b/>
          <w:bCs/>
          <w:color w:val="auto"/>
          <w:sz w:val="22"/>
          <w:szCs w:val="22"/>
        </w:rPr>
      </w:r>
      <w:bookmarkStart w:id="21" w:name="page19"/>
      <w:bookmarkStart w:id="22" w:name="page18"/>
      <w:bookmarkStart w:id="23" w:name="page19"/>
      <w:bookmarkStart w:id="24" w:name="page18"/>
      <w:bookmarkEnd w:id="23"/>
      <w:bookmarkEnd w:id="24"/>
    </w:p>
    <w:sectPr>
      <w:headerReference w:type="even" r:id="rId8"/>
      <w:headerReference w:type="default" r:id="rId9"/>
      <w:headerReference w:type="first" r:id="rId10"/>
      <w:footerReference w:type="even" r:id="rId11"/>
      <w:footerReference w:type="default" r:id="rId12"/>
      <w:footerReference w:type="first" r:id="rId13"/>
      <w:type w:val="nextPage"/>
      <w:pgSz w:w="11906" w:h="16838"/>
      <w:pgMar w:left="1133" w:right="1126" w:gutter="0" w:header="700" w:top="1351" w:footer="825" w:bottom="1352"/>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roman"/>
    <w:pitch w:val="variable"/>
  </w:font>
  <w:font w:name="Symbol">
    <w:charset w:val="ee" w:characterSet="windows-1250"/>
    <w:family w:val="roman"/>
    <w:pitch w:val="variable"/>
  </w:font>
  <w:font w:name="Times New Roman">
    <w:charset w:val="ee" w:characterSet="windows-1250"/>
    <w:family w:val="roman"/>
    <w:pitch w:val="variable"/>
  </w:font>
  <w:font w:name="Liberation Sans">
    <w:altName w:val="Arial"/>
    <w:charset w:val="ee" w:characterSet="windows-1250"/>
    <w:family w:val="roman"/>
    <w:pitch w:val="variable"/>
  </w:font>
  <w:font w:name="Arial">
    <w:charset w:val="ee" w:characterSet="windows-125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6Nagwekistopka"/>
      <w:ind w:hanging="0" w:start="0" w:end="0"/>
      <w:jc w:val="start"/>
      <w:rPr>
        <w:rFonts w:ascii="Arial" w:hAnsi="Arial" w:cs="Arial"/>
        <w:sz w:val="18"/>
        <w:szCs w:val="18"/>
        <w:lang w:val="en-US"/>
      </w:rPr>
    </w:pPr>
    <w:r>
      <w:rPr>
        <w:rFonts w:cs="Arial"/>
        <w:sz w:val="18"/>
        <w:szCs w:val="18"/>
        <w:lang w:val="en-US"/>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6Nagwekistopka"/>
      <w:ind w:hanging="0" w:start="0" w:end="0"/>
      <w:jc w:val="start"/>
      <w:rPr>
        <w:rFonts w:ascii="Arial" w:hAnsi="Arial" w:cs="Arial"/>
        <w:sz w:val="18"/>
        <w:szCs w:val="18"/>
        <w:lang w:val="en-US"/>
      </w:rPr>
    </w:pPr>
    <w:r>
      <w:rPr>
        <w:rFonts w:cs="Arial"/>
        <w:sz w:val="18"/>
        <w:szCs w:val="18"/>
        <w:lang w:val="en-US"/>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6Nagwekistopka"/>
      <w:ind w:hanging="0" w:start="0" w:end="0"/>
      <w:jc w:val="start"/>
      <w:rPr/>
    </w:pPr>
    <w:r>
      <mc:AlternateContent>
        <mc:Choice Requires="wps">
          <w:drawing>
            <wp:anchor behindDoc="1" distT="0" distB="0" distL="0" distR="0" simplePos="0" locked="0" layoutInCell="1" allowOverlap="1" relativeHeight="40">
              <wp:simplePos x="0" y="0"/>
              <wp:positionH relativeFrom="column">
                <wp:posOffset>0</wp:posOffset>
              </wp:positionH>
              <wp:positionV relativeFrom="paragraph">
                <wp:posOffset>635</wp:posOffset>
              </wp:positionV>
              <wp:extent cx="5554980" cy="245110"/>
              <wp:effectExtent l="0" t="0" r="0" b="0"/>
              <wp:wrapNone/>
              <wp:docPr id="3" name="AutoShape 3"/>
              <a:graphic xmlns:a="http://schemas.openxmlformats.org/drawingml/2006/main">
                <a:graphicData uri="http://schemas.microsoft.com/office/word/2010/wordprocessingShape">
                  <wps:wsp>
                    <wps:cNvSpPr/>
                    <wps:spPr>
                      <a:xfrm>
                        <a:off x="0" y="0"/>
                        <a:ext cx="5555160" cy="24516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1" allowOverlap="1" relativeHeight="41">
              <wp:simplePos x="0" y="0"/>
              <wp:positionH relativeFrom="column">
                <wp:posOffset>0</wp:posOffset>
              </wp:positionH>
              <wp:positionV relativeFrom="paragraph">
                <wp:posOffset>635</wp:posOffset>
              </wp:positionV>
              <wp:extent cx="765810" cy="405130"/>
              <wp:effectExtent l="0" t="0" r="0" b="0"/>
              <wp:wrapNone/>
              <wp:docPr id="4" name="Ramka 2"/>
              <a:graphic xmlns:a="http://schemas.openxmlformats.org/drawingml/2006/main">
                <a:graphicData uri="http://schemas.microsoft.com/office/word/2010/wordprocessingShape">
                  <wps:wsp>
                    <wps:cNvSpPr/>
                    <wps:spPr>
                      <a:xfrm>
                        <a:off x="0" y="0"/>
                        <a:ext cx="765720" cy="405000"/>
                      </a:xfrm>
                      <a:prstGeom prst="rect">
                        <a:avLst/>
                      </a:prstGeom>
                      <a:noFill/>
                      <a:ln w="0">
                        <a:noFill/>
                      </a:ln>
                    </wps:spPr>
                    <wps:style>
                      <a:lnRef idx="0"/>
                      <a:fillRef idx="0"/>
                      <a:effectRef idx="0"/>
                      <a:fontRef idx="minor"/>
                    </wps:style>
                    <wps:txbx>
                      <w:txbxContent>
                        <w:p>
                          <w:pPr>
                            <w:pStyle w:val="Zawartoramki"/>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0</w:t>
                          </w:r>
                          <w:r>
                            <w:rPr>
                              <w:rStyle w:val="PageNumber"/>
                              <w:sz w:val="36"/>
                              <w:szCs w:val="36"/>
                              <w:color w:val="auto"/>
                            </w:rPr>
                            <w:fldChar w:fldCharType="end"/>
                          </w:r>
                          <w:r>
                            <w:rPr>
                              <w:rStyle w:val="PageNumber"/>
                              <w:color w:val="auto"/>
                              <w:sz w:val="36"/>
                              <w:szCs w:val="36"/>
                            </w:rPr>
                            <w:t>-</w:t>
                          </w:r>
                        </w:p>
                      </w:txbxContent>
                    </wps:txbx>
                    <wps:bodyPr anchor="t">
                      <a:noAutofit/>
                    </wps:bodyPr>
                  </wps:wsp>
                </a:graphicData>
              </a:graphic>
            </wp:anchor>
          </w:drawing>
        </mc:Choice>
        <mc:Fallback>
          <w:pict>
            <v:rect id="shape_0" ID="Ramka 2" path="m0,0l-2147483645,0l-2147483645,-2147483646l0,-2147483646xe" stroked="f" o:allowincell="f" style="position:absolute;margin-left:0pt;margin-top:0.05pt;width:60.25pt;height:31.85pt;mso-wrap-style:square;v-text-anchor:top">
              <v:fill o:detectmouseclick="t" on="false"/>
              <v:stroke color="#3465a4" joinstyle="round" endcap="flat"/>
              <v:textbox>
                <w:txbxContent>
                  <w:p>
                    <w:pPr>
                      <w:pStyle w:val="Zawartoramki"/>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0</w:t>
                    </w:r>
                    <w:r>
                      <w:rPr>
                        <w:rStyle w:val="PageNumber"/>
                        <w:sz w:val="36"/>
                        <w:szCs w:val="36"/>
                        <w:color w:val="auto"/>
                      </w:rPr>
                      <w:fldChar w:fldCharType="end"/>
                    </w:r>
                    <w:r>
                      <w:rPr>
                        <w:rStyle w:val="PageNumber"/>
                        <w:color w:val="auto"/>
                        <w:sz w:val="36"/>
                        <w:szCs w:val="36"/>
                      </w:rPr>
                      <w:t>-</w:t>
                    </w:r>
                  </w:p>
                </w:txbxContent>
              </v:textbox>
              <w10:wrap type="none"/>
            </v:rect>
          </w:pict>
        </mc:Fallback>
      </mc:AlternateContent>
    </w:r>
    <w:r>
      <w:rPr>
        <w:rFonts w:cs="Arial"/>
        <w:b/>
        <w:sz w:val="28"/>
        <w:szCs w:val="28"/>
        <w:lang w:val="en-US"/>
      </w:rPr>
      <w:t xml:space="preserve">P.P.H. </w:t>
    </w:r>
    <w:r>
      <w:rPr>
        <w:rFonts w:cs="Arial"/>
        <w:b/>
        <w:i/>
        <w:color w:val="365F91"/>
        <w:sz w:val="44"/>
        <w:szCs w:val="44"/>
        <w:lang w:val="en-US"/>
      </w:rPr>
      <w:t>SAWOX</w:t>
    </w:r>
    <w:r>
      <w:rPr>
        <w:rFonts w:cs="Arial"/>
        <w:b/>
        <w:color w:val="365F91"/>
        <w:sz w:val="44"/>
        <w:szCs w:val="44"/>
        <w:lang w:val="en-US"/>
      </w:rPr>
      <w:t xml:space="preserve"> </w:t>
    </w:r>
    <w:r>
      <w:rPr>
        <w:rFonts w:cs="Arial"/>
        <w:b/>
        <w:sz w:val="28"/>
        <w:szCs w:val="28"/>
        <w:lang w:val="en-US"/>
      </w:rPr>
      <w:t>Jan Wolak Sp.j.</w:t>
    </w:r>
    <w:r>
      <w:rPr>
        <w:rFonts w:cs="Arial"/>
        <w:lang w:val="en-US"/>
      </w:rPr>
      <w:t xml:space="preserve"> </w:t>
    </w:r>
  </w:p>
  <w:p>
    <w:pPr>
      <w:pStyle w:val="G6Nagwekistopka"/>
      <w:ind w:hanging="0" w:start="0" w:end="0"/>
      <w:jc w:val="start"/>
      <w:rPr/>
    </w:pPr>
    <w:bookmarkStart w:id="25" w:name="PageNumWizard_FOOTER_Konwertuj_12_kopia_"/>
    <w:bookmarkStart w:id="26" w:name="PageNumWizard_FOOTER_Domyślny_styl_stron"/>
    <w:bookmarkEnd w:id="26"/>
    <w:r>
      <w:rPr>
        <w:rFonts w:cs="Arial"/>
        <w:sz w:val="18"/>
        <w:szCs w:val="18"/>
      </w:rPr>
      <w:t xml:space="preserve">25-633 KIELCE, ul. Olszewskiego 6B, </w:t>
    </w:r>
    <w:r>
      <w:rPr>
        <w:rFonts w:cs="Arial"/>
        <w:b/>
        <w:color w:val="365F91"/>
        <w:sz w:val="18"/>
        <w:szCs w:val="18"/>
      </w:rPr>
      <w:t xml:space="preserve"> </w:t>
    </w:r>
    <w:r>
      <w:rPr>
        <w:rFonts w:cs="Arial"/>
        <w:color w:val="365F91"/>
        <w:sz w:val="18"/>
        <w:szCs w:val="18"/>
      </w:rPr>
      <w:t xml:space="preserve">sawox@sawox.pl   </w:t>
    </w:r>
    <w:r>
      <w:rPr>
        <w:rFonts w:cs="Arial"/>
        <w:sz w:val="18"/>
        <w:szCs w:val="18"/>
      </w:rPr>
      <w:t>tel. / fax: (41) 367-59-85</w:t>
    </w:r>
    <w:r>
      <w:rPr>
        <w:sz w:val="18"/>
        <w:szCs w:val="18"/>
      </w:rPr>
      <w:t xml:space="preserve"> </w:t>
    </w:r>
    <w:bookmarkEnd w:id="2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6Nagwekistopka"/>
      <w:ind w:hanging="0" w:start="0" w:end="0"/>
      <w:jc w:val="start"/>
      <w:rPr/>
    </w:pPr>
    <w:r>
      <w:rPr>
        <w:rFonts w:cs="Arial"/>
        <w:b/>
        <w:sz w:val="28"/>
        <w:szCs w:val="28"/>
        <w:lang w:val="en-US"/>
      </w:rPr>
      <mc:AlternateContent>
        <mc:Choice Requires="wps">
          <w:drawing>
            <wp:anchor behindDoc="1" distT="0" distB="0" distL="0" distR="0" simplePos="0" locked="0" layoutInCell="1" allowOverlap="1" relativeHeight="14">
              <wp:simplePos x="0" y="0"/>
              <wp:positionH relativeFrom="column">
                <wp:posOffset>-42545</wp:posOffset>
              </wp:positionH>
              <wp:positionV relativeFrom="paragraph">
                <wp:posOffset>44450</wp:posOffset>
              </wp:positionV>
              <wp:extent cx="5554980" cy="245110"/>
              <wp:effectExtent l="0" t="0" r="0" b="0"/>
              <wp:wrapNone/>
              <wp:docPr id="5" name="AutoShape 1"/>
              <a:graphic xmlns:a="http://schemas.openxmlformats.org/drawingml/2006/main">
                <a:graphicData uri="http://schemas.microsoft.com/office/word/2010/wordprocessingShape">
                  <wps:wsp>
                    <wps:cNvSpPr/>
                    <wps:spPr>
                      <a:xfrm>
                        <a:off x="0" y="0"/>
                        <a:ext cx="5555160" cy="24516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t xml:space="preserve">P.P.H. </w:t>
    </w:r>
    <w:r>
      <w:rPr>
        <w:rFonts w:cs="Arial"/>
        <w:b/>
        <w:i/>
        <w:color w:val="365F91"/>
        <w:sz w:val="44"/>
        <w:szCs w:val="44"/>
        <w:lang w:val="en-US"/>
      </w:rPr>
      <w:t>SAWOX</w:t>
    </w:r>
    <w:r>
      <w:rPr>
        <w:rFonts w:cs="Arial"/>
        <w:b/>
        <w:color w:val="365F91"/>
        <w:sz w:val="44"/>
        <w:szCs w:val="44"/>
        <w:lang w:val="en-US"/>
      </w:rPr>
      <w:t xml:space="preserve"> </w:t>
    </w:r>
    <w:r>
      <w:rPr>
        <w:rFonts w:cs="Arial"/>
        <w:b/>
        <w:sz w:val="28"/>
        <w:szCs w:val="28"/>
        <w:lang w:val="en-US"/>
      </w:rPr>
      <w:t>Jan Wolak Sp.j.</w:t>
    </w:r>
    <w:r>
      <mc:AlternateContent>
        <mc:Choice Requires="wps">
          <w:drawing>
            <wp:anchor behindDoc="1" distT="0" distB="0" distL="0" distR="0" simplePos="0" locked="0" layoutInCell="1" allowOverlap="1" relativeHeight="38">
              <wp:simplePos x="0" y="0"/>
              <wp:positionH relativeFrom="column">
                <wp:posOffset>5143500</wp:posOffset>
              </wp:positionH>
              <wp:positionV relativeFrom="paragraph">
                <wp:posOffset>180975</wp:posOffset>
              </wp:positionV>
              <wp:extent cx="765810" cy="405130"/>
              <wp:effectExtent l="0" t="0" r="0" b="0"/>
              <wp:wrapNone/>
              <wp:docPr id="6" name="Ramka1"/>
              <a:graphic xmlns:a="http://schemas.openxmlformats.org/drawingml/2006/main">
                <a:graphicData uri="http://schemas.microsoft.com/office/word/2010/wordprocessingShape">
                  <wps:wsp>
                    <wps:cNvSpPr/>
                    <wps:spPr>
                      <a:xfrm>
                        <a:off x="0" y="0"/>
                        <a:ext cx="765720" cy="405000"/>
                      </a:xfrm>
                      <a:prstGeom prst="rect">
                        <a:avLst/>
                      </a:prstGeom>
                      <a:noFill/>
                      <a:ln w="0">
                        <a:noFill/>
                      </a:ln>
                    </wps:spPr>
                    <wps:style>
                      <a:lnRef idx="0"/>
                      <a:fillRef idx="0"/>
                      <a:effectRef idx="0"/>
                      <a:fontRef idx="minor"/>
                    </wps:style>
                    <wps:txbx>
                      <w:txbxContent>
                        <w:p>
                          <w:pPr>
                            <w:pStyle w:val="Zawartoramki"/>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13</w:t>
                          </w:r>
                          <w:r>
                            <w:rPr>
                              <w:rStyle w:val="PageNumber"/>
                              <w:sz w:val="36"/>
                              <w:szCs w:val="36"/>
                              <w:color w:val="auto"/>
                            </w:rPr>
                            <w:fldChar w:fldCharType="end"/>
                          </w:r>
                          <w:r>
                            <w:rPr>
                              <w:rStyle w:val="PageNumber"/>
                              <w:color w:val="auto"/>
                              <w:sz w:val="36"/>
                              <w:szCs w:val="36"/>
                            </w:rPr>
                            <w:t>-</w:t>
                          </w:r>
                        </w:p>
                      </w:txbxContent>
                    </wps:txbx>
                    <wps:bodyPr anchor="t">
                      <a:noAutofit/>
                    </wps:bodyPr>
                  </wps:wsp>
                </a:graphicData>
              </a:graphic>
            </wp:anchor>
          </w:drawing>
        </mc:Choice>
        <mc:Fallback>
          <w:pict>
            <v:rect id="shape_0" ID="Ramka1" path="m0,0l-2147483645,0l-2147483645,-2147483646l0,-2147483646xe" stroked="f" o:allowincell="f" style="position:absolute;margin-left:405pt;margin-top:14.25pt;width:60.25pt;height:31.85pt;mso-wrap-style:square;v-text-anchor:top">
              <v:fill o:detectmouseclick="t" on="false"/>
              <v:stroke color="#3465a4" joinstyle="round" endcap="flat"/>
              <v:textbox>
                <w:txbxContent>
                  <w:p>
                    <w:pPr>
                      <w:pStyle w:val="Zawartoramki"/>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13</w:t>
                    </w:r>
                    <w:r>
                      <w:rPr>
                        <w:rStyle w:val="PageNumber"/>
                        <w:sz w:val="36"/>
                        <w:szCs w:val="36"/>
                        <w:color w:val="auto"/>
                      </w:rPr>
                      <w:fldChar w:fldCharType="end"/>
                    </w:r>
                    <w:r>
                      <w:rPr>
                        <w:rStyle w:val="PageNumber"/>
                        <w:color w:val="auto"/>
                        <w:sz w:val="36"/>
                        <w:szCs w:val="36"/>
                      </w:rPr>
                      <w:t>-</w:t>
                    </w:r>
                  </w:p>
                </w:txbxContent>
              </v:textbox>
              <w10:wrap type="none"/>
            </v:rect>
          </w:pict>
        </mc:Fallback>
      </mc:AlternateContent>
    </w:r>
    <w:r>
      <w:rPr>
        <w:rFonts w:cs="Arial"/>
        <w:lang w:val="en-US"/>
      </w:rPr>
      <w:t xml:space="preserve"> </w:t>
    </w:r>
  </w:p>
  <w:p>
    <w:pPr>
      <w:pStyle w:val="G6Nagwekistopka"/>
      <w:ind w:hanging="0" w:start="0" w:end="0"/>
      <w:jc w:val="start"/>
      <w:rPr/>
    </w:pPr>
    <w:bookmarkStart w:id="27" w:name="PageNumWizard_FOOTER_Konwertuj_12_kopia1"/>
    <w:bookmarkStart w:id="28" w:name="PageNumWizard_FOOTER_Domyślny_styl_stro1"/>
    <w:bookmarkEnd w:id="28"/>
    <w:r>
      <w:rPr>
        <w:rFonts w:cs="Arial"/>
        <w:sz w:val="18"/>
        <w:szCs w:val="18"/>
      </w:rPr>
      <w:t xml:space="preserve">25-633 KIELCE, ul. Olszewskiego 6B, </w:t>
    </w:r>
    <w:r>
      <w:rPr>
        <w:rFonts w:cs="Arial"/>
        <w:b/>
        <w:color w:val="365F91"/>
        <w:sz w:val="18"/>
        <w:szCs w:val="18"/>
      </w:rPr>
      <w:t xml:space="preserve"> </w:t>
    </w:r>
    <w:r>
      <w:rPr>
        <w:rFonts w:cs="Arial"/>
        <w:color w:val="365F91"/>
        <w:sz w:val="18"/>
        <w:szCs w:val="18"/>
      </w:rPr>
      <w:t xml:space="preserve">sawox@sawox.pl   </w:t>
    </w:r>
    <w:r>
      <w:rPr>
        <w:rFonts w:cs="Arial"/>
        <w:sz w:val="18"/>
        <w:szCs w:val="18"/>
      </w:rPr>
      <w:t>tel. / fax: (41) 345-39-14</w:t>
    </w:r>
    <w:r>
      <w:rPr>
        <w:sz w:val="18"/>
        <w:szCs w:val="18"/>
      </w:rPr>
      <w:t xml:space="preserve"> </w:t>
    </w:r>
    <w:bookmarkEnd w:id="27"/>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6Nagwekistopka"/>
      <w:ind w:hanging="0" w:start="0" w:end="0"/>
      <w:jc w:val="start"/>
      <w:rPr/>
    </w:pPr>
    <w:r>
      <w:rPr>
        <w:rFonts w:cs="Arial"/>
        <w:b/>
        <w:sz w:val="28"/>
        <w:szCs w:val="28"/>
        <w:lang w:val="en-US"/>
      </w:rPr>
      <mc:AlternateContent>
        <mc:Choice Requires="wps">
          <w:drawing>
            <wp:anchor behindDoc="1" distT="0" distB="0" distL="0" distR="0" simplePos="0" locked="0" layoutInCell="1" allowOverlap="1" relativeHeight="14">
              <wp:simplePos x="0" y="0"/>
              <wp:positionH relativeFrom="column">
                <wp:posOffset>-42545</wp:posOffset>
              </wp:positionH>
              <wp:positionV relativeFrom="paragraph">
                <wp:posOffset>44450</wp:posOffset>
              </wp:positionV>
              <wp:extent cx="5554980" cy="245110"/>
              <wp:effectExtent l="0" t="0" r="0" b="0"/>
              <wp:wrapNone/>
              <wp:docPr id="7" name="AutoShape 1"/>
              <a:graphic xmlns:a="http://schemas.openxmlformats.org/drawingml/2006/main">
                <a:graphicData uri="http://schemas.microsoft.com/office/word/2010/wordprocessingShape">
                  <wps:wsp>
                    <wps:cNvSpPr/>
                    <wps:spPr>
                      <a:xfrm>
                        <a:off x="0" y="0"/>
                        <a:ext cx="5555160" cy="24516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t xml:space="preserve">P.P.H. </w:t>
    </w:r>
    <w:r>
      <w:rPr>
        <w:rFonts w:cs="Arial"/>
        <w:b/>
        <w:i/>
        <w:color w:val="365F91"/>
        <w:sz w:val="44"/>
        <w:szCs w:val="44"/>
        <w:lang w:val="en-US"/>
      </w:rPr>
      <w:t>SAWOX</w:t>
    </w:r>
    <w:r>
      <w:rPr>
        <w:rFonts w:cs="Arial"/>
        <w:b/>
        <w:color w:val="365F91"/>
        <w:sz w:val="44"/>
        <w:szCs w:val="44"/>
        <w:lang w:val="en-US"/>
      </w:rPr>
      <w:t xml:space="preserve"> </w:t>
    </w:r>
    <w:r>
      <w:rPr>
        <w:rFonts w:cs="Arial"/>
        <w:b/>
        <w:sz w:val="28"/>
        <w:szCs w:val="28"/>
        <w:lang w:val="en-US"/>
      </w:rPr>
      <w:t>Jan Wolak Sp.j.</w:t>
    </w:r>
    <w:r>
      <mc:AlternateContent>
        <mc:Choice Requires="wps">
          <w:drawing>
            <wp:anchor behindDoc="1" distT="0" distB="0" distL="0" distR="0" simplePos="0" locked="0" layoutInCell="1" allowOverlap="1" relativeHeight="38">
              <wp:simplePos x="0" y="0"/>
              <wp:positionH relativeFrom="column">
                <wp:posOffset>5143500</wp:posOffset>
              </wp:positionH>
              <wp:positionV relativeFrom="paragraph">
                <wp:posOffset>180975</wp:posOffset>
              </wp:positionV>
              <wp:extent cx="765810" cy="405130"/>
              <wp:effectExtent l="0" t="0" r="0" b="0"/>
              <wp:wrapNone/>
              <wp:docPr id="8" name="Ramka1"/>
              <a:graphic xmlns:a="http://schemas.openxmlformats.org/drawingml/2006/main">
                <a:graphicData uri="http://schemas.microsoft.com/office/word/2010/wordprocessingShape">
                  <wps:wsp>
                    <wps:cNvSpPr/>
                    <wps:spPr>
                      <a:xfrm>
                        <a:off x="0" y="0"/>
                        <a:ext cx="765720" cy="405000"/>
                      </a:xfrm>
                      <a:prstGeom prst="rect">
                        <a:avLst/>
                      </a:prstGeom>
                      <a:noFill/>
                      <a:ln w="0">
                        <a:noFill/>
                      </a:ln>
                    </wps:spPr>
                    <wps:style>
                      <a:lnRef idx="0"/>
                      <a:fillRef idx="0"/>
                      <a:effectRef idx="0"/>
                      <a:fontRef idx="minor"/>
                    </wps:style>
                    <wps:txbx>
                      <w:txbxContent>
                        <w:p>
                          <w:pPr>
                            <w:pStyle w:val="Zawartoramki"/>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13</w:t>
                          </w:r>
                          <w:r>
                            <w:rPr>
                              <w:rStyle w:val="PageNumber"/>
                              <w:sz w:val="36"/>
                              <w:szCs w:val="36"/>
                              <w:color w:val="auto"/>
                            </w:rPr>
                            <w:fldChar w:fldCharType="end"/>
                          </w:r>
                          <w:r>
                            <w:rPr>
                              <w:rStyle w:val="PageNumber"/>
                              <w:color w:val="auto"/>
                              <w:sz w:val="36"/>
                              <w:szCs w:val="36"/>
                            </w:rPr>
                            <w:t>-</w:t>
                          </w:r>
                        </w:p>
                      </w:txbxContent>
                    </wps:txbx>
                    <wps:bodyPr anchor="t">
                      <a:noAutofit/>
                    </wps:bodyPr>
                  </wps:wsp>
                </a:graphicData>
              </a:graphic>
            </wp:anchor>
          </w:drawing>
        </mc:Choice>
        <mc:Fallback>
          <w:pict>
            <v:rect id="shape_0" ID="Ramka1" path="m0,0l-2147483645,0l-2147483645,-2147483646l0,-2147483646xe" stroked="f" o:allowincell="f" style="position:absolute;margin-left:405pt;margin-top:14.25pt;width:60.25pt;height:31.85pt;mso-wrap-style:square;v-text-anchor:top">
              <v:fill o:detectmouseclick="t" on="false"/>
              <v:stroke color="#3465a4" joinstyle="round" endcap="flat"/>
              <v:textbox>
                <w:txbxContent>
                  <w:p>
                    <w:pPr>
                      <w:pStyle w:val="Zawartoramki"/>
                      <w:spacing w:before="0" w:after="120"/>
                      <w:rPr/>
                    </w:pPr>
                    <w:r>
                      <w:rPr>
                        <w:rStyle w:val="PageNumber"/>
                        <w:color w:val="auto"/>
                        <w:sz w:val="36"/>
                        <w:szCs w:val="36"/>
                      </w:rPr>
                      <w:t>-</w:t>
                    </w:r>
                    <w:r>
                      <w:rPr>
                        <w:rStyle w:val="PageNumber"/>
                        <w:color w:val="auto"/>
                        <w:sz w:val="36"/>
                        <w:szCs w:val="36"/>
                      </w:rPr>
                      <w:fldChar w:fldCharType="begin"/>
                    </w:r>
                    <w:r>
                      <w:rPr>
                        <w:rStyle w:val="PageNumber"/>
                        <w:sz w:val="36"/>
                        <w:szCs w:val="36"/>
                        <w:color w:val="auto"/>
                      </w:rPr>
                      <w:instrText xml:space="preserve"> PAGE </w:instrText>
                    </w:r>
                    <w:r>
                      <w:rPr>
                        <w:rStyle w:val="PageNumber"/>
                        <w:sz w:val="36"/>
                        <w:szCs w:val="36"/>
                        <w:color w:val="auto"/>
                      </w:rPr>
                      <w:fldChar w:fldCharType="separate"/>
                    </w:r>
                    <w:r>
                      <w:rPr>
                        <w:rStyle w:val="PageNumber"/>
                        <w:sz w:val="36"/>
                        <w:szCs w:val="36"/>
                        <w:color w:val="auto"/>
                      </w:rPr>
                      <w:t>13</w:t>
                    </w:r>
                    <w:r>
                      <w:rPr>
                        <w:rStyle w:val="PageNumber"/>
                        <w:sz w:val="36"/>
                        <w:szCs w:val="36"/>
                        <w:color w:val="auto"/>
                      </w:rPr>
                      <w:fldChar w:fldCharType="end"/>
                    </w:r>
                    <w:r>
                      <w:rPr>
                        <w:rStyle w:val="PageNumber"/>
                        <w:color w:val="auto"/>
                        <w:sz w:val="36"/>
                        <w:szCs w:val="36"/>
                      </w:rPr>
                      <w:t>-</w:t>
                    </w:r>
                  </w:p>
                </w:txbxContent>
              </v:textbox>
              <w10:wrap type="none"/>
            </v:rect>
          </w:pict>
        </mc:Fallback>
      </mc:AlternateContent>
    </w:r>
    <w:r>
      <w:rPr>
        <w:rFonts w:cs="Arial"/>
        <w:lang w:val="en-US"/>
      </w:rPr>
      <w:t xml:space="preserve"> </w:t>
    </w:r>
  </w:p>
  <w:p>
    <w:pPr>
      <w:pStyle w:val="G6Nagwekistopka"/>
      <w:ind w:hanging="0" w:start="0" w:end="0"/>
      <w:jc w:val="start"/>
      <w:rPr/>
    </w:pPr>
    <w:bookmarkStart w:id="29" w:name="PageNumWizard_FOOTER_Konwertuj_12_kopia1"/>
    <w:bookmarkStart w:id="30" w:name="PageNumWizard_FOOTER_Domyślny_styl_stro1"/>
    <w:bookmarkEnd w:id="30"/>
    <w:r>
      <w:rPr>
        <w:rFonts w:cs="Arial"/>
        <w:sz w:val="18"/>
        <w:szCs w:val="18"/>
      </w:rPr>
      <w:t xml:space="preserve">25-633 KIELCE, ul. Olszewskiego 6B, </w:t>
    </w:r>
    <w:r>
      <w:rPr>
        <w:rFonts w:cs="Arial"/>
        <w:b/>
        <w:color w:val="365F91"/>
        <w:sz w:val="18"/>
        <w:szCs w:val="18"/>
      </w:rPr>
      <w:t xml:space="preserve"> </w:t>
    </w:r>
    <w:r>
      <w:rPr>
        <w:rFonts w:cs="Arial"/>
        <w:color w:val="365F91"/>
        <w:sz w:val="18"/>
        <w:szCs w:val="18"/>
      </w:rPr>
      <w:t xml:space="preserve">sawox@sawox.pl   </w:t>
    </w:r>
    <w:r>
      <w:rPr>
        <w:rFonts w:cs="Arial"/>
        <w:sz w:val="18"/>
        <w:szCs w:val="18"/>
      </w:rPr>
      <w:t>tel. / fax: (41) 345-39-14</w:t>
    </w:r>
    <w:r>
      <w:rPr>
        <w:sz w:val="18"/>
        <w:szCs w:val="18"/>
      </w:rPr>
      <w:t xml:space="preserve"> </w:t>
    </w:r>
    <w:bookmarkEnd w:id="29"/>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enter" w:pos="4536" w:leader="none"/>
        <w:tab w:val="right" w:pos="8904" w:leader="none"/>
        <w:tab w:val="right" w:pos="9072" w:leader="none"/>
      </w:tabs>
      <w:spacing w:lineRule="auto" w:line="240"/>
      <w:ind w:start="142"/>
      <w:rPr>
        <w:rFonts w:ascii="Arial" w:hAnsi="Arial" w:cs="Arial"/>
        <w:b/>
        <w:bCs/>
        <w:color w:val="auto"/>
        <w:sz w:val="16"/>
        <w:szCs w:val="16"/>
      </w:rPr>
    </w:pPr>
    <w:r>
      <w:rPr>
        <w:rFonts w:cs="Arial" w:ascii="Arial" w:hAnsi="Arial"/>
        <w:b/>
        <w:bCs/>
        <w:color w:val="auto"/>
        <w:sz w:val="16"/>
        <w:szCs w:val="16"/>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enter" w:pos="4536" w:leader="none"/>
        <w:tab w:val="right" w:pos="8904" w:leader="none"/>
        <w:tab w:val="right" w:pos="9072" w:leader="none"/>
      </w:tabs>
      <w:spacing w:lineRule="auto" w:line="240"/>
      <w:ind w:start="142"/>
      <w:rPr>
        <w:rFonts w:ascii="Arial" w:hAnsi="Arial" w:cs="Arial"/>
        <w:b/>
        <w:bCs/>
        <w:color w:val="auto"/>
        <w:sz w:val="16"/>
        <w:szCs w:val="16"/>
      </w:rPr>
    </w:pPr>
    <w:r>
      <w:rPr>
        <w:rFonts w:cs="Arial" w:ascii="Arial" w:hAnsi="Arial"/>
        <w:b/>
        <w:bCs/>
        <w:color w:val="auto"/>
        <w:sz w:val="16"/>
        <w:szCs w:val="16"/>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enter" w:pos="4536" w:leader="none"/>
        <w:tab w:val="right" w:pos="8904" w:leader="none"/>
        <w:tab w:val="right" w:pos="9072" w:leader="none"/>
      </w:tabs>
      <w:spacing w:lineRule="auto" w:line="240"/>
      <w:ind w:start="142"/>
      <w:rPr/>
    </w:pPr>
    <w:r>
      <mc:AlternateContent>
        <mc:Choice Requires="wps">
          <w:drawing>
            <wp:anchor behindDoc="1" distT="635" distB="635" distL="635" distR="1270" simplePos="0" locked="0" layoutInCell="1" allowOverlap="1" relativeHeight="54">
              <wp:simplePos x="0" y="0"/>
              <wp:positionH relativeFrom="column">
                <wp:posOffset>-67945</wp:posOffset>
              </wp:positionH>
              <wp:positionV relativeFrom="paragraph">
                <wp:posOffset>-107315</wp:posOffset>
              </wp:positionV>
              <wp:extent cx="5510530" cy="467360"/>
              <wp:effectExtent l="635" t="635" r="1270" b="635"/>
              <wp:wrapNone/>
              <wp:docPr id="1" name="Kształt1"/>
              <a:graphic xmlns:a="http://schemas.openxmlformats.org/drawingml/2006/main">
                <a:graphicData uri="http://schemas.microsoft.com/office/word/2010/wordprocessingShape">
                  <wps:wsp>
                    <wps:cNvSpPr/>
                    <wps:spPr>
                      <a:xfrm>
                        <a:off x="0" y="0"/>
                        <a:ext cx="5510520" cy="46728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szCs w:val="16"/>
      </w:rPr>
      <w:t>TYTUŁ OPRACOWANIA:</w:t>
    </w:r>
    <w:r>
      <w:rPr>
        <w:rFonts w:ascii="Arial" w:hAnsi="Arial"/>
        <w:b/>
        <w:sz w:val="16"/>
        <w:szCs w:val="16"/>
      </w:rPr>
      <w:t xml:space="preserve"> </w:t>
    </w:r>
    <w:r>
      <w:rPr>
        <w:rFonts w:ascii="Arial" w:hAnsi="Arial"/>
        <w:b/>
        <w:bCs/>
        <w:sz w:val="16"/>
        <w:szCs w:val="16"/>
      </w:rPr>
      <w:t xml:space="preserve">Remont hydroforni, modernizacja instalacji z wymianą zbiorników buforowych i renowacją </w:t>
    </w:r>
  </w:p>
  <w:p>
    <w:pPr>
      <w:pStyle w:val="Header"/>
      <w:tabs>
        <w:tab w:val="center" w:pos="4536" w:leader="none"/>
        <w:tab w:val="right" w:pos="8904" w:leader="none"/>
        <w:tab w:val="right" w:pos="9072" w:leader="none"/>
      </w:tabs>
      <w:spacing w:lineRule="auto" w:line="240"/>
      <w:ind w:start="142"/>
      <w:rPr/>
    </w:pPr>
    <w:r>
      <w:rPr>
        <w:rFonts w:ascii="Arial" w:hAnsi="Arial"/>
        <w:b/>
        <w:bCs/>
        <w:sz w:val="16"/>
        <w:szCs w:val="16"/>
      </w:rPr>
      <w:t xml:space="preserve">zbiorników wody pitnej       </w:t>
      <w:tab/>
      <w:tab/>
      <w:t xml:space="preserve">    </w:t>
    </w:r>
    <w:r>
      <w:rPr>
        <w:rFonts w:ascii="Arial" w:hAnsi="Arial"/>
        <w:sz w:val="16"/>
        <w:szCs w:val="16"/>
      </w:rPr>
      <w:t>NR</w:t>
    </w:r>
    <w:r>
      <w:rPr>
        <w:rFonts w:ascii="Arial" w:hAnsi="Arial"/>
        <w:color w:val="auto"/>
        <w:sz w:val="16"/>
        <w:szCs w:val="16"/>
      </w:rPr>
      <w:t xml:space="preserve"> </w:t>
    </w:r>
    <w:r>
      <w:rPr>
        <w:rFonts w:cs="Arial" w:ascii="Arial" w:hAnsi="Arial"/>
        <w:color w:val="auto"/>
        <w:sz w:val="16"/>
        <w:szCs w:val="16"/>
      </w:rPr>
      <w:t>1/S/ŚCO/2024</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enter" w:pos="4536" w:leader="none"/>
        <w:tab w:val="right" w:pos="8904" w:leader="none"/>
        <w:tab w:val="right" w:pos="9072" w:leader="none"/>
      </w:tabs>
      <w:spacing w:lineRule="auto" w:line="240"/>
      <w:ind w:start="142"/>
      <w:rPr/>
    </w:pPr>
    <w:r>
      <mc:AlternateContent>
        <mc:Choice Requires="wps">
          <w:drawing>
            <wp:anchor behindDoc="1" distT="635" distB="635" distL="635" distR="1270" simplePos="0" locked="0" layoutInCell="1" allowOverlap="1" relativeHeight="54">
              <wp:simplePos x="0" y="0"/>
              <wp:positionH relativeFrom="column">
                <wp:posOffset>-67945</wp:posOffset>
              </wp:positionH>
              <wp:positionV relativeFrom="paragraph">
                <wp:posOffset>-107315</wp:posOffset>
              </wp:positionV>
              <wp:extent cx="5510530" cy="467360"/>
              <wp:effectExtent l="635" t="635" r="1270" b="635"/>
              <wp:wrapNone/>
              <wp:docPr id="2" name="Kształt1"/>
              <a:graphic xmlns:a="http://schemas.openxmlformats.org/drawingml/2006/main">
                <a:graphicData uri="http://schemas.microsoft.com/office/word/2010/wordprocessingShape">
                  <wps:wsp>
                    <wps:cNvSpPr/>
                    <wps:spPr>
                      <a:xfrm>
                        <a:off x="0" y="0"/>
                        <a:ext cx="5510520" cy="467280"/>
                      </a:xfrm>
                      <a:prstGeom prst="roundRect">
                        <a:avLst>
                          <a:gd name="adj" fmla="val 16667"/>
                        </a:avLst>
                      </a:prstGeom>
                      <a:solidFill>
                        <a:srgbClr val="ffffff"/>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szCs w:val="16"/>
      </w:rPr>
      <w:t>TYTUŁ OPRACOWANIA:</w:t>
    </w:r>
    <w:r>
      <w:rPr>
        <w:rFonts w:ascii="Arial" w:hAnsi="Arial"/>
        <w:b/>
        <w:sz w:val="16"/>
        <w:szCs w:val="16"/>
      </w:rPr>
      <w:t xml:space="preserve"> </w:t>
    </w:r>
    <w:r>
      <w:rPr>
        <w:rFonts w:ascii="Arial" w:hAnsi="Arial"/>
        <w:b/>
        <w:bCs/>
        <w:sz w:val="16"/>
        <w:szCs w:val="16"/>
      </w:rPr>
      <w:t xml:space="preserve">Remont hydroforni, modernizacja instalacji z wymianą zbiorników buforowych i renowacją </w:t>
    </w:r>
  </w:p>
  <w:p>
    <w:pPr>
      <w:pStyle w:val="Header"/>
      <w:tabs>
        <w:tab w:val="center" w:pos="4536" w:leader="none"/>
        <w:tab w:val="right" w:pos="8904" w:leader="none"/>
        <w:tab w:val="right" w:pos="9072" w:leader="none"/>
      </w:tabs>
      <w:spacing w:lineRule="auto" w:line="240"/>
      <w:ind w:start="142"/>
      <w:rPr/>
    </w:pPr>
    <w:r>
      <w:rPr>
        <w:rFonts w:ascii="Arial" w:hAnsi="Arial"/>
        <w:b/>
        <w:bCs/>
        <w:sz w:val="16"/>
        <w:szCs w:val="16"/>
      </w:rPr>
      <w:t xml:space="preserve">zbiorników wody pitnej       </w:t>
      <w:tab/>
      <w:tab/>
      <w:t xml:space="preserve">    </w:t>
    </w:r>
    <w:r>
      <w:rPr>
        <w:rFonts w:ascii="Arial" w:hAnsi="Arial"/>
        <w:sz w:val="16"/>
        <w:szCs w:val="16"/>
      </w:rPr>
      <w:t>NR</w:t>
    </w:r>
    <w:r>
      <w:rPr>
        <w:rFonts w:ascii="Arial" w:hAnsi="Arial"/>
        <w:color w:val="auto"/>
        <w:sz w:val="16"/>
        <w:szCs w:val="16"/>
      </w:rPr>
      <w:t xml:space="preserve"> </w:t>
    </w:r>
    <w:r>
      <w:rPr>
        <w:rFonts w:cs="Arial" w:ascii="Arial" w:hAnsi="Arial"/>
        <w:color w:val="auto"/>
        <w:sz w:val="16"/>
        <w:szCs w:val="16"/>
      </w:rPr>
      <w:t>1/S/ŚCO/2024</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0" w:hanging="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2">
    <w:lvl w:ilvl="0">
      <w:start w:val="1"/>
      <w:numFmt w:val="bullet"/>
      <w:lvlText w:val=""/>
      <w:lvlJc w:val="start"/>
      <w:pPr>
        <w:tabs>
          <w:tab w:val="num" w:pos="0"/>
        </w:tabs>
        <w:ind w:start="0" w:hanging="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bullet"/>
      <w:lvlText w:val=""/>
      <w:lvlJc w:val="start"/>
      <w:pPr>
        <w:tabs>
          <w:tab w:val="num" w:pos="0"/>
        </w:tabs>
        <w:ind w:start="0" w:hanging="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bullet"/>
      <w:lvlText w:val=""/>
      <w:lvlJc w:val="start"/>
      <w:pPr>
        <w:tabs>
          <w:tab w:val="num" w:pos="0"/>
        </w:tabs>
        <w:ind w:start="0" w:hanging="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5">
    <w:lvl w:ilvl="0">
      <w:start w:val="1"/>
      <w:numFmt w:val="lowerLetter"/>
      <w:lvlText w:val="%1)"/>
      <w:lvlJc w:val="start"/>
      <w:pPr>
        <w:tabs>
          <w:tab w:val="num" w:pos="0"/>
        </w:tabs>
        <w:ind w:start="0" w:hanging="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6">
    <w:lvl w:ilvl="0">
      <w:start w:val="1"/>
      <w:numFmt w:val="lowerLetter"/>
      <w:lvlText w:val="%1)"/>
      <w:lvlJc w:val="start"/>
      <w:pPr>
        <w:tabs>
          <w:tab w:val="num" w:pos="0"/>
        </w:tabs>
        <w:ind w:start="0" w:hanging="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7">
    <w:lvl w:ilvl="0">
      <w:start w:val="1"/>
      <w:numFmt w:val="bullet"/>
      <w:lvlText w:val=""/>
      <w:lvlJc w:val="start"/>
      <w:pPr>
        <w:tabs>
          <w:tab w:val="num" w:pos="0"/>
        </w:tabs>
        <w:ind w:start="0" w:hanging="0"/>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8">
    <w:lvl w:ilvl="0">
      <w:start w:val="1"/>
      <w:numFmt w:val="decimal"/>
      <w:lvlText w:val="%1)"/>
      <w:lvlJc w:val="start"/>
      <w:pPr>
        <w:tabs>
          <w:tab w:val="num" w:pos="0"/>
        </w:tabs>
        <w:ind w:start="14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9">
    <w:lvl w:ilvl="0">
      <w:start w:val="1"/>
      <w:numFmt w:val="decimal"/>
      <w:lvlText w:val="%1)"/>
      <w:lvlJc w:val="start"/>
      <w:pPr>
        <w:tabs>
          <w:tab w:val="num" w:pos="0"/>
        </w:tabs>
        <w:ind w:start="1088"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10">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Calibri" w:hAnsi="Calibri" w:eastAsia="Calibri" w:cs="Arial"/>
      <w:color w:val="auto"/>
      <w:kern w:val="0"/>
      <w:sz w:val="20"/>
      <w:szCs w:val="20"/>
      <w:lang w:val="pl-PL" w:eastAsia="zh-CN" w:bidi="ar-SA"/>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rFonts w:ascii="Symbol" w:hAnsi="Symbol" w:cs="Symbol"/>
    </w:rPr>
  </w:style>
  <w:style w:type="character" w:styleId="WW8Num7z0">
    <w:name w:val="WW8Num7z0"/>
    <w:qFormat/>
    <w:rPr>
      <w:rFonts w:ascii="Symbol" w:hAnsi="Symbol" w:cs="Symbol"/>
    </w:rPr>
  </w:style>
  <w:style w:type="character" w:styleId="Domylnaczcionkaakapitu">
    <w:name w:val="Domyślna czcionka akapitu"/>
    <w:qFormat/>
    <w:rPr/>
  </w:style>
  <w:style w:type="character" w:styleId="TekstpodstawowyZnak">
    <w:name w:val="Tekst podstawowy Znak"/>
    <w:qFormat/>
    <w:rPr>
      <w:rFonts w:ascii="Times New Roman" w:hAnsi="Times New Roman" w:eastAsia="SimSun;宋体" w:cs="Lucida Sans"/>
      <w:kern w:val="2"/>
      <w:sz w:val="24"/>
      <w:szCs w:val="24"/>
      <w:lang w:bidi="hi-IN"/>
    </w:rPr>
  </w:style>
  <w:style w:type="character" w:styleId="WW-Domylnaczcionkaakapitu1">
    <w:name w:val="WW-Domyślna czcionka akapitu1"/>
    <w:qFormat/>
    <w:rPr/>
  </w:style>
  <w:style w:type="character" w:styleId="PageNumber">
    <w:name w:val="Page Number"/>
    <w:basedOn w:val="WW-Domylnaczcionkaakapitu1"/>
    <w:rPr/>
  </w:style>
  <w:style w:type="paragraph" w:styleId="Nagwek">
    <w:name w:val="Nagłówek"/>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widowControl w:val="false"/>
      <w:suppressAutoHyphens w:val="true"/>
      <w:spacing w:before="0" w:after="120"/>
      <w:textAlignment w:val="baseline"/>
    </w:pPr>
    <w:rPr>
      <w:rFonts w:ascii="Times New Roman" w:hAnsi="Times New Roman" w:eastAsia="SimSun;宋体" w:cs="Lucida Sans"/>
      <w:kern w:val="2"/>
      <w:sz w:val="24"/>
      <w:szCs w:val="24"/>
      <w:lang w:bidi="hi-IN"/>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Caption11">
    <w:name w:val="Caption11"/>
    <w:basedOn w:val="Normal"/>
    <w:qFormat/>
    <w:pPr>
      <w:suppressLineNumbers/>
      <w:spacing w:before="120" w:after="120"/>
    </w:pPr>
    <w:rPr>
      <w:rFonts w:cs="Arial"/>
      <w:i/>
      <w:iCs/>
      <w:sz w:val="24"/>
      <w:szCs w:val="24"/>
    </w:rPr>
  </w:style>
  <w:style w:type="paragraph" w:styleId="NormalnyWeb">
    <w:name w:val="Normalny (Web)"/>
    <w:basedOn w:val="Normal"/>
    <w:qFormat/>
    <w:pPr>
      <w:widowControl w:val="false"/>
      <w:suppressAutoHyphens w:val="true"/>
      <w:spacing w:before="280" w:after="119"/>
      <w:textAlignment w:val="baseline"/>
    </w:pPr>
    <w:rPr>
      <w:rFonts w:ascii="Times New Roman" w:hAnsi="Times New Roman" w:eastAsia="Times New Roman" w:cs="Times New Roman"/>
      <w:kern w:val="2"/>
      <w:sz w:val="24"/>
      <w:szCs w:val="24"/>
      <w:lang w:bidi="hi-IN"/>
    </w:rPr>
  </w:style>
  <w:style w:type="paragraph" w:styleId="Default">
    <w:name w:val="Default"/>
    <w:qFormat/>
    <w:pPr>
      <w:widowControl/>
      <w:suppressAutoHyphens w:val="true"/>
      <w:bidi w:val="0"/>
      <w:spacing w:before="0" w:after="0"/>
      <w:jc w:val="start"/>
    </w:pPr>
    <w:rPr>
      <w:rFonts w:ascii="Calibri" w:hAnsi="Calibri" w:eastAsia="Calibri" w:cs="Calibri"/>
      <w:color w:val="000000"/>
      <w:kern w:val="0"/>
      <w:sz w:val="24"/>
      <w:szCs w:val="24"/>
      <w:lang w:val="pl-PL" w:eastAsia="zh-CN" w:bidi="ar-SA"/>
    </w:rPr>
  </w:style>
  <w:style w:type="paragraph" w:styleId="Standard">
    <w:name w:val="Standard"/>
    <w:qFormat/>
    <w:pPr>
      <w:widowControl w:val="false"/>
      <w:suppressAutoHyphens w:val="true"/>
      <w:bidi w:val="0"/>
      <w:spacing w:before="0" w:after="0"/>
      <w:jc w:val="start"/>
      <w:textAlignment w:val="baseline"/>
    </w:pPr>
    <w:rPr>
      <w:rFonts w:ascii="Times New Roman" w:hAnsi="Times New Roman" w:eastAsia="SimSun;宋体" w:cs="Lucida Sans"/>
      <w:color w:val="auto"/>
      <w:kern w:val="2"/>
      <w:sz w:val="24"/>
      <w:szCs w:val="24"/>
      <w:lang w:val="pl-PL" w:eastAsia="zh-CN" w:bidi="hi-IN"/>
    </w:rPr>
  </w:style>
  <w:style w:type="paragraph" w:styleId="Gwkaistopka">
    <w:name w:val="Główka i stopka"/>
    <w:basedOn w:val="Normal"/>
    <w:qFormat/>
    <w:pPr>
      <w:suppressLineNumbers/>
      <w:tabs>
        <w:tab w:val="clear" w:pos="720"/>
        <w:tab w:val="center" w:pos="4820" w:leader="none"/>
        <w:tab w:val="right" w:pos="9640" w:leader="none"/>
      </w:tabs>
    </w:pPr>
    <w:rPr/>
  </w:style>
  <w:style w:type="paragraph" w:styleId="Footer">
    <w:name w:val="Footer"/>
    <w:basedOn w:val="Gwkaistopka"/>
    <w:pPr>
      <w:suppressLineNumbers/>
    </w:pPr>
    <w:rPr/>
  </w:style>
  <w:style w:type="paragraph" w:styleId="Header">
    <w:name w:val="Header"/>
    <w:basedOn w:val="Normal"/>
    <w:pPr>
      <w:tabs>
        <w:tab w:val="clear" w:pos="720"/>
        <w:tab w:val="center" w:pos="4536" w:leader="none"/>
        <w:tab w:val="right" w:pos="9072" w:leader="none"/>
      </w:tabs>
    </w:pPr>
    <w:rPr/>
  </w:style>
  <w:style w:type="paragraph" w:styleId="G1">
    <w:name w:val="G1"/>
    <w:next w:val="G5tekstzwyky"/>
    <w:qFormat/>
    <w:pPr>
      <w:widowControl/>
      <w:suppressAutoHyphens w:val="true"/>
      <w:overflowPunct w:val="true"/>
      <w:bidi w:val="0"/>
      <w:spacing w:before="0" w:after="0"/>
      <w:jc w:val="both"/>
    </w:pPr>
    <w:rPr>
      <w:rFonts w:ascii="Arial" w:hAnsi="Arial" w:eastAsia="Calibri" w:cs="Arial"/>
      <w:b/>
      <w:color w:val="0070C0"/>
      <w:kern w:val="0"/>
      <w:sz w:val="24"/>
      <w:szCs w:val="24"/>
      <w:lang w:val="pl-PL" w:eastAsia="zh-CN" w:bidi="ar-SA"/>
    </w:rPr>
  </w:style>
  <w:style w:type="paragraph" w:styleId="G5tekstzwyky">
    <w:name w:val="G5 tekst zwykły"/>
    <w:basedOn w:val="G1"/>
    <w:qFormat/>
    <w:pPr>
      <w:numPr>
        <w:ilvl w:val="0"/>
        <w:numId w:val="0"/>
      </w:numPr>
      <w:ind w:hanging="0" w:start="0" w:end="0"/>
    </w:pPr>
    <w:rPr>
      <w:rFonts w:cs="Times New Roman"/>
      <w:b w:val="false"/>
      <w:color w:val="000000"/>
      <w:szCs w:val="20"/>
      <w:lang w:val="pl-PL"/>
    </w:rPr>
  </w:style>
  <w:style w:type="paragraph" w:styleId="G5tekstzwyky1">
    <w:name w:val="G5 tekst zwykły1"/>
    <w:basedOn w:val="G1"/>
    <w:qFormat/>
    <w:pPr>
      <w:numPr>
        <w:ilvl w:val="0"/>
        <w:numId w:val="0"/>
      </w:numPr>
      <w:ind w:hanging="0" w:start="0" w:end="0"/>
    </w:pPr>
    <w:rPr>
      <w:rFonts w:cs="Times New Roman"/>
      <w:b w:val="false"/>
      <w:color w:val="000000"/>
      <w:szCs w:val="20"/>
      <w:lang w:val="pl-PL"/>
    </w:rPr>
  </w:style>
  <w:style w:type="paragraph" w:styleId="G6Nagwekistopka">
    <w:name w:val="G6 Nagłówek i stopka"/>
    <w:basedOn w:val="G5tekstzwyky1"/>
    <w:qFormat/>
    <w:pPr/>
    <w:rPr>
      <w:sz w:val="20"/>
    </w:rPr>
  </w:style>
  <w:style w:type="paragraph" w:styleId="Zawartoramki">
    <w:name w:val="Zawartość ramki"/>
    <w:basedOn w:val="BodyText"/>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Normal_x005F_x0000_</Template>
  <TotalTime>120</TotalTime>
  <Application>LibreOffice/24.2.4.2$Windows_X86_64 LibreOffice_project/51a6219feb6075d9a4c46691dcfe0cd9c4fff3c2</Application>
  <AppVersion>15.0000</AppVersion>
  <Pages>13</Pages>
  <Words>5901</Words>
  <Characters>40331</Characters>
  <CharactersWithSpaces>46051</CharactersWithSpaces>
  <Paragraphs>270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2022-05-22T16:30:00Z</dcterms:created>
  <dc:creator/>
  <dc:description/>
  <dc:language>pl-PL</dc:language>
  <cp:lastModifiedBy/>
  <cp:lastPrinted>2024-08-06T18:27:59Z</cp:lastPrinted>
  <dcterms:modified xsi:type="dcterms:W3CDTF">2024-08-06T10:16:50Z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