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7"/>
        <w:gridCol w:w="1751"/>
        <w:gridCol w:w="2977"/>
      </w:tblGrid>
      <w:tr w:rsidR="002E3E88" w:rsidRPr="00C849D4" w:rsidTr="008E2303">
        <w:tc>
          <w:tcPr>
            <w:tcW w:w="5337" w:type="dxa"/>
          </w:tcPr>
          <w:p w:rsidR="002E3E88" w:rsidRPr="00C849D4" w:rsidRDefault="002E3E88" w:rsidP="00CE2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2E3E88" w:rsidRPr="00C849D4" w:rsidRDefault="002E3E88" w:rsidP="00CE2C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49D4">
              <w:rPr>
                <w:rFonts w:ascii="Times New Roman" w:hAnsi="Times New Roman" w:cs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b/>
                <w:sz w:val="24"/>
                <w:szCs w:val="24"/>
              </w:rPr>
              <w:t>Załącznik nr 2 do SWZ</w:t>
            </w:r>
          </w:p>
        </w:tc>
      </w:tr>
      <w:tr w:rsidR="005A13D5" w:rsidRPr="00C849D4" w:rsidTr="008E2303">
        <w:tc>
          <w:tcPr>
            <w:tcW w:w="10065" w:type="dxa"/>
            <w:gridSpan w:val="3"/>
          </w:tcPr>
          <w:p w:rsidR="005A13D5" w:rsidRDefault="005A13D5" w:rsidP="00CE2C65">
            <w:pPr>
              <w:jc w:val="center"/>
              <w:rPr>
                <w:u w:val="single"/>
              </w:rPr>
            </w:pPr>
          </w:p>
          <w:p w:rsidR="00AD78EE" w:rsidRPr="0076360A" w:rsidRDefault="0076360A" w:rsidP="0076360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36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dotyczy: przetargu nieograniczonego na dostawę </w:t>
            </w:r>
            <w:proofErr w:type="spellStart"/>
            <w:r w:rsidRPr="007636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angiografu</w:t>
            </w:r>
            <w:proofErr w:type="spellEnd"/>
            <w:r w:rsidRPr="007636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jednopłaszczyznowego z wyposażeniem - 1 </w:t>
            </w:r>
            <w:proofErr w:type="spellStart"/>
            <w:r w:rsidRPr="007636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kpl</w:t>
            </w:r>
            <w:proofErr w:type="spellEnd"/>
            <w:r w:rsidRPr="007636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., znak sprawy: 4WSzKzP.SZP.2612.145.2024</w:t>
            </w:r>
          </w:p>
          <w:p w:rsidR="0076360A" w:rsidRPr="00C849D4" w:rsidRDefault="0076360A" w:rsidP="00CE2C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2C65" w:rsidRPr="00C849D4" w:rsidTr="008E2303">
        <w:tc>
          <w:tcPr>
            <w:tcW w:w="10065" w:type="dxa"/>
            <w:gridSpan w:val="3"/>
          </w:tcPr>
          <w:p w:rsidR="00CE2C65" w:rsidRPr="0099035D" w:rsidRDefault="00CE2C65" w:rsidP="00CE2C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9035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FORMULARZ CENOWY</w:t>
            </w:r>
          </w:p>
          <w:p w:rsidR="00CE2C65" w:rsidRPr="00C849D4" w:rsidRDefault="00CE2C65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2C65" w:rsidRPr="00C849D4" w:rsidTr="008E2303">
        <w:tc>
          <w:tcPr>
            <w:tcW w:w="10065" w:type="dxa"/>
            <w:gridSpan w:val="3"/>
          </w:tcPr>
          <w:p w:rsidR="00CE2C65" w:rsidRPr="00AD78EE" w:rsidRDefault="00CE2C65" w:rsidP="00CE2C6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D78E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AD78EE">
              <w:rPr>
                <w:rFonts w:ascii="Times New Roman" w:hAnsi="Times New Roman" w:cs="Times New Roman"/>
                <w:iCs/>
                <w:sz w:val="20"/>
                <w:szCs w:val="20"/>
              </w:rPr>
              <w:t>enę brutto (zł), będącą podstawą do wyliczenia punktów za cenę otrzymujemy ze wzoru: Wartość jednostkowa netto (zł) razy Ilość  – daje Wartość netto (zł), z której to wartości liczymy podatek VAT i po dodaniu podatku VAT do wartości netto otrzymujemy Cenę brutto (zł).</w:t>
            </w:r>
          </w:p>
          <w:p w:rsidR="00D37F51" w:rsidRPr="00AD78EE" w:rsidRDefault="00D37F51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736F" w:rsidRPr="00AD78EE" w:rsidRDefault="0029736F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4987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3741"/>
              <w:gridCol w:w="924"/>
              <w:gridCol w:w="1391"/>
              <w:gridCol w:w="1170"/>
              <w:gridCol w:w="950"/>
              <w:gridCol w:w="1262"/>
            </w:tblGrid>
            <w:tr w:rsidR="00AD78EE" w:rsidRPr="00AD78EE" w:rsidTr="008E2303">
              <w:trPr>
                <w:trHeight w:val="20"/>
              </w:trPr>
              <w:tc>
                <w:tcPr>
                  <w:tcW w:w="376" w:type="dxa"/>
                  <w:shd w:val="clear" w:color="000000" w:fill="C6EFCE"/>
                  <w:vAlign w:val="center"/>
                </w:tcPr>
                <w:p w:rsidR="00AD78EE" w:rsidRPr="00AD78EE" w:rsidRDefault="00AD78EE" w:rsidP="00AD78EE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D78E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906" w:type="pct"/>
                  <w:shd w:val="clear" w:color="000000" w:fill="C6EFCE"/>
                  <w:vAlign w:val="center"/>
                  <w:hideMark/>
                </w:tcPr>
                <w:p w:rsidR="00AD78EE" w:rsidRPr="00AD78EE" w:rsidRDefault="00AD78EE" w:rsidP="00AD78EE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D78E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471" w:type="pct"/>
                  <w:shd w:val="clear" w:color="000000" w:fill="C6EFCE"/>
                  <w:vAlign w:val="center"/>
                </w:tcPr>
                <w:p w:rsidR="00AD78EE" w:rsidRPr="00AD78EE" w:rsidRDefault="00AD78EE" w:rsidP="00AD78EE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D78E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709" w:type="pct"/>
                  <w:shd w:val="clear" w:color="000000" w:fill="C6EFCE"/>
                  <w:vAlign w:val="center"/>
                  <w:hideMark/>
                </w:tcPr>
                <w:p w:rsidR="00AD78EE" w:rsidRPr="00AD78EE" w:rsidRDefault="00AD78EE" w:rsidP="00AD78EE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D78E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Wartość jednostkowa netto za </w:t>
                  </w:r>
                  <w:proofErr w:type="spellStart"/>
                  <w:r w:rsidRPr="00AD78E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kpl</w:t>
                  </w:r>
                  <w:proofErr w:type="spellEnd"/>
                  <w:r w:rsidRPr="00AD78E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 PLN</w:t>
                  </w:r>
                </w:p>
              </w:tc>
              <w:tc>
                <w:tcPr>
                  <w:tcW w:w="596" w:type="pct"/>
                  <w:shd w:val="clear" w:color="000000" w:fill="C6EFCE"/>
                  <w:vAlign w:val="center"/>
                  <w:hideMark/>
                </w:tcPr>
                <w:p w:rsidR="00AD78EE" w:rsidRPr="00AD78EE" w:rsidRDefault="00AD78EE" w:rsidP="00AD78EE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D78E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Wartość netto PLN</w:t>
                  </w:r>
                </w:p>
              </w:tc>
              <w:tc>
                <w:tcPr>
                  <w:tcW w:w="484" w:type="pct"/>
                  <w:shd w:val="clear" w:color="000000" w:fill="C6EFCE"/>
                  <w:vAlign w:val="center"/>
                </w:tcPr>
                <w:p w:rsidR="00AD78EE" w:rsidRPr="00AD78EE" w:rsidRDefault="00AD78EE" w:rsidP="00AD78EE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D78E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VAT %</w:t>
                  </w:r>
                  <w:r w:rsidRPr="00AD78EE">
                    <w:rPr>
                      <w:rStyle w:val="Odwoanieprzypisudolnego"/>
                      <w:rFonts w:ascii="Times New Roman" w:hAnsi="Times New Roman" w:cs="Times New Roman"/>
                      <w:b/>
                      <w:sz w:val="16"/>
                      <w:szCs w:val="16"/>
                    </w:rPr>
                    <w:footnoteReference w:id="1"/>
                  </w:r>
                </w:p>
              </w:tc>
              <w:tc>
                <w:tcPr>
                  <w:tcW w:w="643" w:type="pct"/>
                  <w:shd w:val="clear" w:color="000000" w:fill="C6EFCE"/>
                  <w:vAlign w:val="center"/>
                  <w:hideMark/>
                </w:tcPr>
                <w:p w:rsidR="00AD78EE" w:rsidRPr="00AD78EE" w:rsidRDefault="00AD78EE" w:rsidP="00AD78EE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D78E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Cena brutto PLN</w:t>
                  </w:r>
                </w:p>
              </w:tc>
            </w:tr>
            <w:tr w:rsidR="00AD78EE" w:rsidRPr="00AD78EE" w:rsidTr="008E2303">
              <w:trPr>
                <w:trHeight w:val="20"/>
              </w:trPr>
              <w:tc>
                <w:tcPr>
                  <w:tcW w:w="376" w:type="dxa"/>
                  <w:shd w:val="clear" w:color="auto" w:fill="auto"/>
                  <w:vAlign w:val="center"/>
                </w:tcPr>
                <w:p w:rsidR="00AD78EE" w:rsidRPr="00AD78EE" w:rsidRDefault="00AD78EE" w:rsidP="00AD78EE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D78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06" w:type="pct"/>
                  <w:vAlign w:val="center"/>
                </w:tcPr>
                <w:p w:rsidR="00AD78EE" w:rsidRPr="00AD78EE" w:rsidRDefault="0076360A" w:rsidP="00AD78EE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Angiograf</w:t>
                  </w:r>
                  <w:proofErr w:type="spellEnd"/>
                  <w:r w:rsidRPr="007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jednopłaszczyznowy z wyposażeniem</w:t>
                  </w:r>
                </w:p>
              </w:tc>
              <w:tc>
                <w:tcPr>
                  <w:tcW w:w="471" w:type="pct"/>
                  <w:shd w:val="clear" w:color="auto" w:fill="auto"/>
                  <w:vAlign w:val="center"/>
                </w:tcPr>
                <w:p w:rsidR="00AD78EE" w:rsidRPr="00AD78EE" w:rsidRDefault="0076360A" w:rsidP="00AD78EE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 </w:t>
                  </w:r>
                  <w:proofErr w:type="spellStart"/>
                  <w:r w:rsidRPr="007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kpl</w:t>
                  </w:r>
                  <w:proofErr w:type="spellEnd"/>
                  <w:r w:rsidRPr="007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9" w:type="pct"/>
                  <w:shd w:val="clear" w:color="auto" w:fill="auto"/>
                  <w:vAlign w:val="center"/>
                </w:tcPr>
                <w:p w:rsidR="00AD78EE" w:rsidRPr="00AD78EE" w:rsidRDefault="00AD78EE" w:rsidP="00AD78EE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6" w:type="pct"/>
                  <w:shd w:val="clear" w:color="auto" w:fill="auto"/>
                  <w:vAlign w:val="center"/>
                </w:tcPr>
                <w:p w:rsidR="00AD78EE" w:rsidRPr="00AD78EE" w:rsidRDefault="00AD78EE" w:rsidP="00AD78EE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4" w:type="pct"/>
                  <w:shd w:val="clear" w:color="auto" w:fill="auto"/>
                  <w:vAlign w:val="center"/>
                </w:tcPr>
                <w:p w:rsidR="00AD78EE" w:rsidRPr="00AD78EE" w:rsidRDefault="00AD78EE" w:rsidP="00AD78EE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3" w:type="pct"/>
                  <w:shd w:val="clear" w:color="auto" w:fill="auto"/>
                  <w:vAlign w:val="center"/>
                </w:tcPr>
                <w:p w:rsidR="00AD78EE" w:rsidRPr="00AD78EE" w:rsidRDefault="00AD78EE" w:rsidP="00AD78EE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6360A" w:rsidRPr="00AD78EE" w:rsidTr="008E2303">
              <w:trPr>
                <w:trHeight w:val="20"/>
              </w:trPr>
              <w:tc>
                <w:tcPr>
                  <w:tcW w:w="376" w:type="dxa"/>
                  <w:shd w:val="clear" w:color="auto" w:fill="auto"/>
                  <w:vAlign w:val="center"/>
                </w:tcPr>
                <w:p w:rsidR="0076360A" w:rsidRPr="00AD78EE" w:rsidRDefault="0076360A" w:rsidP="00AD78EE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06" w:type="pct"/>
                  <w:vAlign w:val="center"/>
                </w:tcPr>
                <w:p w:rsidR="0076360A" w:rsidRPr="00AD78EE" w:rsidRDefault="0076360A" w:rsidP="00AD78EE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Koszty dostawy, zainstalowania sprzętu, serwisowania sprzętu (w przypadku zaoferowania gwarancji dłuższej niż gwarancja producenta) i przeszkolenia personelu w zakresie obsługi sprzętu</w:t>
                  </w:r>
                </w:p>
              </w:tc>
              <w:tc>
                <w:tcPr>
                  <w:tcW w:w="471" w:type="pct"/>
                  <w:shd w:val="clear" w:color="auto" w:fill="auto"/>
                  <w:vAlign w:val="center"/>
                </w:tcPr>
                <w:p w:rsidR="0076360A" w:rsidRPr="00AD78EE" w:rsidRDefault="0076360A" w:rsidP="00AD78EE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 </w:t>
                  </w:r>
                  <w:proofErr w:type="spellStart"/>
                  <w:r w:rsidRPr="007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kpl</w:t>
                  </w:r>
                  <w:proofErr w:type="spellEnd"/>
                  <w:r w:rsidRPr="007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9" w:type="pct"/>
                  <w:shd w:val="clear" w:color="auto" w:fill="auto"/>
                  <w:vAlign w:val="center"/>
                </w:tcPr>
                <w:p w:rsidR="0076360A" w:rsidRPr="00AD78EE" w:rsidRDefault="0076360A" w:rsidP="00AD78EE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6" w:type="pct"/>
                  <w:shd w:val="clear" w:color="auto" w:fill="auto"/>
                  <w:vAlign w:val="center"/>
                </w:tcPr>
                <w:p w:rsidR="0076360A" w:rsidRPr="00AD78EE" w:rsidRDefault="0076360A" w:rsidP="00AD78EE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4" w:type="pct"/>
                  <w:shd w:val="clear" w:color="auto" w:fill="auto"/>
                  <w:vAlign w:val="center"/>
                </w:tcPr>
                <w:p w:rsidR="0076360A" w:rsidRPr="00AD78EE" w:rsidRDefault="0076360A" w:rsidP="00AD78EE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3" w:type="pct"/>
                  <w:shd w:val="clear" w:color="auto" w:fill="auto"/>
                  <w:vAlign w:val="center"/>
                </w:tcPr>
                <w:p w:rsidR="0076360A" w:rsidRPr="00AD78EE" w:rsidRDefault="0076360A" w:rsidP="00AD78EE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D78EE" w:rsidRPr="00AD78EE" w:rsidTr="008E2303">
              <w:trPr>
                <w:trHeight w:val="20"/>
              </w:trPr>
              <w:tc>
                <w:tcPr>
                  <w:tcW w:w="6431" w:type="dxa"/>
                  <w:gridSpan w:val="4"/>
                  <w:shd w:val="clear" w:color="auto" w:fill="auto"/>
                  <w:vAlign w:val="center"/>
                </w:tcPr>
                <w:p w:rsidR="00AD78EE" w:rsidRPr="00AD78EE" w:rsidRDefault="00AD78EE" w:rsidP="00AD78EE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D78E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596" w:type="pct"/>
                  <w:shd w:val="clear" w:color="auto" w:fill="auto"/>
                  <w:vAlign w:val="center"/>
                </w:tcPr>
                <w:p w:rsidR="00AD78EE" w:rsidRPr="00AD78EE" w:rsidRDefault="00AD78EE" w:rsidP="00AD78EE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84" w:type="pct"/>
                  <w:shd w:val="clear" w:color="auto" w:fill="auto"/>
                  <w:vAlign w:val="center"/>
                </w:tcPr>
                <w:p w:rsidR="00AD78EE" w:rsidRPr="00AD78EE" w:rsidRDefault="00AD78EE" w:rsidP="00AD78EE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43" w:type="pct"/>
                  <w:shd w:val="clear" w:color="auto" w:fill="auto"/>
                  <w:vAlign w:val="center"/>
                </w:tcPr>
                <w:p w:rsidR="00AD78EE" w:rsidRPr="00AD78EE" w:rsidRDefault="00AD78EE" w:rsidP="00AD78EE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D78EE" w:rsidRPr="00AD78EE" w:rsidRDefault="00AD78EE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C4E42" w:rsidRPr="008C4E42" w:rsidRDefault="008C4E42" w:rsidP="008C4E42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8C4E42">
              <w:rPr>
                <w:rFonts w:ascii="Times New Roman" w:eastAsia="Calibri" w:hAnsi="Times New Roman" w:cs="Times New Roman"/>
                <w:b/>
                <w:u w:val="single"/>
              </w:rPr>
              <w:t>PARAMETRY TECHNICZNE</w:t>
            </w:r>
          </w:p>
          <w:p w:rsidR="008C4E42" w:rsidRPr="008C4E42" w:rsidRDefault="008C4E42" w:rsidP="008C4E42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zh-CN"/>
              </w:rPr>
            </w:pPr>
          </w:p>
          <w:p w:rsidR="008C4E42" w:rsidRPr="0064672C" w:rsidRDefault="008C4E42" w:rsidP="008C4E42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  <w:lang w:eastAsia="zh-CN"/>
              </w:rPr>
            </w:pPr>
            <w:proofErr w:type="spellStart"/>
            <w:r w:rsidRPr="0064672C">
              <w:rPr>
                <w:rFonts w:ascii="Times New Roman" w:hAnsi="Times New Roman" w:cs="Times New Roman"/>
                <w:b/>
                <w:u w:val="single"/>
              </w:rPr>
              <w:t>Angiograf</w:t>
            </w:r>
            <w:proofErr w:type="spellEnd"/>
            <w:r w:rsidRPr="0064672C">
              <w:rPr>
                <w:rFonts w:ascii="Times New Roman" w:hAnsi="Times New Roman" w:cs="Times New Roman"/>
                <w:b/>
                <w:u w:val="single"/>
              </w:rPr>
              <w:t xml:space="preserve"> jednopłaszczyznowy z wyposażeniem</w:t>
            </w:r>
            <w:r w:rsidRPr="0064672C">
              <w:rPr>
                <w:rFonts w:ascii="Times New Roman" w:hAnsi="Times New Roman" w:cs="Times New Roman"/>
                <w:b/>
                <w:u w:val="single"/>
              </w:rPr>
              <w:tab/>
              <w:t xml:space="preserve">1 </w:t>
            </w:r>
            <w:proofErr w:type="spellStart"/>
            <w:r w:rsidRPr="0064672C">
              <w:rPr>
                <w:rFonts w:ascii="Times New Roman" w:hAnsi="Times New Roman" w:cs="Times New Roman"/>
                <w:b/>
                <w:u w:val="single"/>
              </w:rPr>
              <w:t>kpl</w:t>
            </w:r>
            <w:proofErr w:type="spellEnd"/>
            <w:r w:rsidRPr="0064672C">
              <w:rPr>
                <w:rFonts w:ascii="Times New Roman" w:hAnsi="Times New Roman" w:cs="Times New Roman"/>
                <w:b/>
                <w:u w:val="single"/>
              </w:rPr>
              <w:t>.</w:t>
            </w:r>
          </w:p>
          <w:p w:rsidR="008C4E42" w:rsidRPr="008C4E42" w:rsidRDefault="008C4E42" w:rsidP="008C4E42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8C4E42">
              <w:rPr>
                <w:rFonts w:ascii="Times New Roman" w:hAnsi="Times New Roman" w:cs="Times New Roman"/>
                <w:b/>
                <w:bCs/>
                <w:lang w:eastAsia="zh-CN"/>
              </w:rPr>
              <w:t>Wykonawca:</w:t>
            </w:r>
            <w:r w:rsidRPr="008C4E42">
              <w:rPr>
                <w:rFonts w:ascii="Times New Roman" w:hAnsi="Times New Roman" w:cs="Times New Roman"/>
                <w:b/>
                <w:bCs/>
                <w:lang w:eastAsia="zh-CN"/>
              </w:rPr>
              <w:tab/>
              <w:t>……………………………………………</w:t>
            </w:r>
          </w:p>
          <w:p w:rsidR="008C4E42" w:rsidRPr="008C4E42" w:rsidRDefault="008C4E42" w:rsidP="008C4E42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</w:p>
          <w:p w:rsidR="008C4E42" w:rsidRPr="008C4E42" w:rsidRDefault="008C4E42" w:rsidP="008C4E42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8C4E42">
              <w:rPr>
                <w:rFonts w:ascii="Times New Roman" w:hAnsi="Times New Roman" w:cs="Times New Roman"/>
                <w:b/>
                <w:bCs/>
                <w:lang w:eastAsia="zh-CN"/>
              </w:rPr>
              <w:t>Nazwa i typ:</w:t>
            </w:r>
            <w:r w:rsidRPr="008C4E42">
              <w:rPr>
                <w:rFonts w:ascii="Times New Roman" w:hAnsi="Times New Roman" w:cs="Times New Roman"/>
                <w:b/>
                <w:bCs/>
                <w:lang w:eastAsia="zh-CN"/>
              </w:rPr>
              <w:tab/>
              <w:t>……………………………………………</w:t>
            </w:r>
          </w:p>
          <w:p w:rsidR="008C4E42" w:rsidRPr="008C4E42" w:rsidRDefault="008C4E42" w:rsidP="008C4E42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</w:p>
          <w:p w:rsidR="008C4E42" w:rsidRPr="008C4E42" w:rsidRDefault="008C4E42" w:rsidP="008C4E42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8C4E42">
              <w:rPr>
                <w:rFonts w:ascii="Times New Roman" w:hAnsi="Times New Roman" w:cs="Times New Roman"/>
                <w:b/>
                <w:bCs/>
                <w:lang w:eastAsia="zh-CN"/>
              </w:rPr>
              <w:t>Producent/ Kraj :</w:t>
            </w:r>
            <w:r w:rsidRPr="008C4E42">
              <w:rPr>
                <w:rFonts w:ascii="Times New Roman" w:hAnsi="Times New Roman" w:cs="Times New Roman"/>
                <w:b/>
                <w:bCs/>
                <w:lang w:eastAsia="zh-CN"/>
              </w:rPr>
              <w:tab/>
              <w:t>……………………………………………</w:t>
            </w:r>
          </w:p>
          <w:p w:rsidR="008C4E42" w:rsidRPr="008C4E42" w:rsidRDefault="008C4E42" w:rsidP="008C4E42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</w:p>
          <w:p w:rsidR="008C4E42" w:rsidRPr="008C4E42" w:rsidRDefault="008C4E42" w:rsidP="008C4E42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8C4E42">
              <w:rPr>
                <w:rFonts w:ascii="Times New Roman" w:hAnsi="Times New Roman" w:cs="Times New Roman"/>
                <w:b/>
                <w:bCs/>
                <w:lang w:eastAsia="zh-CN"/>
              </w:rPr>
              <w:t>Rok produkcji :</w:t>
            </w:r>
            <w:r w:rsidRPr="008C4E42">
              <w:rPr>
                <w:rFonts w:ascii="Times New Roman" w:hAnsi="Times New Roman" w:cs="Times New Roman"/>
                <w:b/>
                <w:bCs/>
                <w:lang w:eastAsia="zh-CN"/>
              </w:rPr>
              <w:tab/>
              <w:t xml:space="preserve">sprzęt fabrycznie nowy, nieużywany, </w:t>
            </w:r>
            <w:proofErr w:type="spellStart"/>
            <w:r w:rsidRPr="008C4E42">
              <w:rPr>
                <w:rFonts w:ascii="Times New Roman" w:hAnsi="Times New Roman" w:cs="Times New Roman"/>
                <w:b/>
                <w:bCs/>
                <w:lang w:eastAsia="zh-CN"/>
              </w:rPr>
              <w:t>nierekondycjonowany</w:t>
            </w:r>
            <w:proofErr w:type="spellEnd"/>
            <w:r w:rsidRPr="008C4E42">
              <w:rPr>
                <w:rFonts w:ascii="Times New Roman" w:hAnsi="Times New Roman" w:cs="Times New Roman"/>
                <w:b/>
                <w:bCs/>
                <w:lang w:eastAsia="zh-CN"/>
              </w:rPr>
              <w:t>, nie powystawowy / rok produkcji 2024</w:t>
            </w:r>
          </w:p>
          <w:p w:rsidR="008C4E42" w:rsidRPr="008C4E42" w:rsidRDefault="008C4E42" w:rsidP="008C4E42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8C4E42" w:rsidRPr="008C4E42" w:rsidRDefault="008C4E42" w:rsidP="008C4E42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8C4E42" w:rsidRPr="008E2303" w:rsidRDefault="008C4E42" w:rsidP="008C4E42">
            <w:pPr>
              <w:rPr>
                <w:rFonts w:ascii="Times New Roman" w:hAnsi="Times New Roman" w:cs="Times New Roman"/>
                <w:i/>
                <w:sz w:val="18"/>
                <w:szCs w:val="18"/>
                <w:lang w:bidi="en-US"/>
              </w:rPr>
            </w:pPr>
            <w:r w:rsidRPr="008E2303">
              <w:rPr>
                <w:rFonts w:ascii="Times New Roman" w:hAnsi="Times New Roman" w:cs="Times New Roman"/>
                <w:i/>
                <w:sz w:val="18"/>
                <w:szCs w:val="18"/>
                <w:lang w:bidi="en-US"/>
              </w:rPr>
              <w:t>*Odpowiedź NIE w przypadku parametrów wymaganych  powoduje odrzucenie oferty</w:t>
            </w:r>
          </w:p>
          <w:p w:rsidR="008C4E42" w:rsidRPr="008C4E42" w:rsidRDefault="008C4E42" w:rsidP="008C4E42">
            <w:pPr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58"/>
              <w:gridCol w:w="3995"/>
              <w:gridCol w:w="1612"/>
              <w:gridCol w:w="1694"/>
              <w:gridCol w:w="1980"/>
            </w:tblGrid>
            <w:tr w:rsidR="00900523" w:rsidRPr="008C4E42" w:rsidTr="005C7B55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5C7B55">
                  <w:pPr>
                    <w:suppressAutoHyphens/>
                    <w:snapToGri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L.P.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</w:tcPr>
                <w:p w:rsidR="008C4E42" w:rsidRPr="008C4E42" w:rsidRDefault="008C4E42" w:rsidP="005C7B55">
                  <w:pPr>
                    <w:suppressAutoHyphens/>
                    <w:snapToGri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PARAMETRY TECHNICZNE</w:t>
                  </w:r>
                </w:p>
              </w:tc>
              <w:tc>
                <w:tcPr>
                  <w:tcW w:w="1612" w:type="dxa"/>
                  <w:shd w:val="clear" w:color="auto" w:fill="auto"/>
                  <w:vAlign w:val="center"/>
                </w:tcPr>
                <w:p w:rsidR="008C4E42" w:rsidRPr="008C4E42" w:rsidRDefault="008C4E42" w:rsidP="005C7B55">
                  <w:pPr>
                    <w:suppressAutoHyphens/>
                    <w:snapToGri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PARAMETR WYMAGANY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5C7B55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bidi="en-US"/>
                    </w:rPr>
                    <w:t>Parametr oceniany</w:t>
                  </w:r>
                </w:p>
              </w:tc>
              <w:tc>
                <w:tcPr>
                  <w:tcW w:w="1980" w:type="dxa"/>
                  <w:vAlign w:val="center"/>
                </w:tcPr>
                <w:p w:rsidR="008C4E42" w:rsidRPr="008C4E42" w:rsidRDefault="008C4E42" w:rsidP="005C7B5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bidi="en-US"/>
                    </w:rPr>
                    <w:t>PARAMETRY OFEROWANE/</w:t>
                  </w:r>
                </w:p>
              </w:tc>
            </w:tr>
            <w:tr w:rsidR="00900523" w:rsidRPr="008C4E42" w:rsidTr="005C7B55">
              <w:trPr>
                <w:cantSplit/>
                <w:trHeight w:val="257"/>
              </w:trPr>
              <w:tc>
                <w:tcPr>
                  <w:tcW w:w="558" w:type="dxa"/>
                  <w:shd w:val="clear" w:color="auto" w:fill="D9D9D9" w:themeFill="background1" w:themeFillShade="D9"/>
                  <w:vAlign w:val="center"/>
                </w:tcPr>
                <w:p w:rsidR="008C4E42" w:rsidRPr="008C4E42" w:rsidRDefault="008C4E42" w:rsidP="005C7B55">
                  <w:pPr>
                    <w:tabs>
                      <w:tab w:val="right" w:pos="6838"/>
                    </w:tabs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 w:bidi="en-US"/>
                    </w:rPr>
                    <w:t>A.</w:t>
                  </w:r>
                </w:p>
              </w:tc>
              <w:tc>
                <w:tcPr>
                  <w:tcW w:w="3995" w:type="dxa"/>
                  <w:shd w:val="clear" w:color="auto" w:fill="D9D9D9" w:themeFill="background1" w:themeFillShade="D9"/>
                  <w:vAlign w:val="center"/>
                </w:tcPr>
                <w:p w:rsidR="008C4E42" w:rsidRPr="008C4E42" w:rsidRDefault="008C4E42" w:rsidP="005C7B55">
                  <w:pPr>
                    <w:tabs>
                      <w:tab w:val="right" w:pos="6838"/>
                    </w:tabs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 w:bidi="en-US"/>
                    </w:rPr>
                    <w:t>PARAMETRY OGÓLNE</w:t>
                  </w:r>
                </w:p>
              </w:tc>
              <w:tc>
                <w:tcPr>
                  <w:tcW w:w="1612" w:type="dxa"/>
                  <w:shd w:val="clear" w:color="auto" w:fill="D9D9D9" w:themeFill="background1" w:themeFillShade="D9"/>
                  <w:vAlign w:val="center"/>
                </w:tcPr>
                <w:p w:rsidR="008C4E42" w:rsidRPr="008C4E42" w:rsidRDefault="008C4E42" w:rsidP="005C7B55">
                  <w:pPr>
                    <w:tabs>
                      <w:tab w:val="right" w:pos="6838"/>
                    </w:tabs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 w:bidi="en-US"/>
                    </w:rPr>
                  </w:pPr>
                </w:p>
              </w:tc>
              <w:tc>
                <w:tcPr>
                  <w:tcW w:w="1694" w:type="dxa"/>
                  <w:shd w:val="clear" w:color="auto" w:fill="D9D9D9" w:themeFill="background1" w:themeFillShade="D9"/>
                  <w:vAlign w:val="center"/>
                </w:tcPr>
                <w:p w:rsidR="008C4E42" w:rsidRPr="008C4E42" w:rsidRDefault="008C4E42" w:rsidP="005C7B55">
                  <w:pPr>
                    <w:tabs>
                      <w:tab w:val="right" w:pos="6838"/>
                    </w:tabs>
                    <w:suppressAutoHyphens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1980" w:type="dxa"/>
                  <w:shd w:val="clear" w:color="auto" w:fill="D9D9D9" w:themeFill="background1" w:themeFillShade="D9"/>
                  <w:vAlign w:val="center"/>
                </w:tcPr>
                <w:p w:rsidR="008C4E42" w:rsidRPr="008C4E42" w:rsidRDefault="008C4E42" w:rsidP="005C7B55">
                  <w:pPr>
                    <w:tabs>
                      <w:tab w:val="right" w:pos="6838"/>
                    </w:tabs>
                    <w:suppressAutoHyphens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5C7B55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5C7B55">
                  <w:pPr>
                    <w:suppressAutoHyphens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  <w:t>I</w:t>
                  </w:r>
                </w:p>
              </w:tc>
              <w:tc>
                <w:tcPr>
                  <w:tcW w:w="3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5C7B55">
                  <w:pPr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val="en-US" w:bidi="en-US"/>
                    </w:rPr>
                  </w:pPr>
                  <w:proofErr w:type="spellStart"/>
                  <w:r w:rsidRPr="008C4E4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val="en-US" w:bidi="en-US"/>
                    </w:rPr>
                    <w:t>Informacje</w:t>
                  </w:r>
                  <w:proofErr w:type="spellEnd"/>
                  <w:r w:rsidRPr="008C4E4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val="en-US" w:bidi="en-US"/>
                    </w:rPr>
                    <w:t xml:space="preserve"> </w:t>
                  </w:r>
                  <w:proofErr w:type="spellStart"/>
                  <w:r w:rsidRPr="008C4E4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val="en-US" w:bidi="en-US"/>
                    </w:rPr>
                    <w:t>ogólne</w:t>
                  </w:r>
                  <w:proofErr w:type="spellEnd"/>
                </w:p>
              </w:tc>
              <w:tc>
                <w:tcPr>
                  <w:tcW w:w="1612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5C7B55">
                  <w:pPr>
                    <w:suppressAutoHyphens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1694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5C7B55">
                  <w:pPr>
                    <w:tabs>
                      <w:tab w:val="right" w:pos="6838"/>
                    </w:tabs>
                    <w:suppressAutoHyphens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1980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5C7B55">
                  <w:pPr>
                    <w:tabs>
                      <w:tab w:val="right" w:pos="6838"/>
                    </w:tabs>
                    <w:suppressAutoHyphens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17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System umożliwiający wykonywania szerokiego zakresu badań naczyniowych:</w:t>
                  </w:r>
                </w:p>
                <w:p w:rsidR="008C4E42" w:rsidRPr="008C4E42" w:rsidRDefault="008C4E42" w:rsidP="008C4E4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kardiologicznych</w:t>
                  </w:r>
                </w:p>
                <w:p w:rsidR="008C4E42" w:rsidRPr="008C4E42" w:rsidRDefault="008C4E42" w:rsidP="008C4E4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elektrofizjologicznych</w:t>
                  </w: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 xml:space="preserve"> </w:t>
                  </w:r>
                </w:p>
              </w:tc>
              <w:tc>
                <w:tcPr>
                  <w:tcW w:w="1612" w:type="dxa"/>
                  <w:vAlign w:val="center"/>
                </w:tcPr>
                <w:p w:rsidR="008C4E42" w:rsidRPr="008C4E42" w:rsidRDefault="008C4E42" w:rsidP="008C4E42">
                  <w:pPr>
                    <w:ind w:right="3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70"/>
              </w:trPr>
              <w:tc>
                <w:tcPr>
                  <w:tcW w:w="558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  <w:t>II</w:t>
                  </w:r>
                </w:p>
              </w:tc>
              <w:tc>
                <w:tcPr>
                  <w:tcW w:w="3995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  <w:t>Statyw</w:t>
                  </w:r>
                </w:p>
              </w:tc>
              <w:tc>
                <w:tcPr>
                  <w:tcW w:w="1612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36"/>
                    <w:jc w:val="center"/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4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suppressAutoHyphens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Mocowanie statywu do sufitu na szynach jezdnych umożliwiających odjazd pozycjonera od stołu pacjenta do ściany za głową i zwiększenie dostępu do pacjenta na stole ze wszystkich stron</w:t>
                  </w:r>
                </w:p>
              </w:tc>
              <w:tc>
                <w:tcPr>
                  <w:tcW w:w="1612" w:type="dxa"/>
                  <w:vAlign w:val="center"/>
                </w:tcPr>
                <w:p w:rsidR="008C4E42" w:rsidRPr="008C4E42" w:rsidRDefault="008C4E42" w:rsidP="008C4E42">
                  <w:pPr>
                    <w:ind w:right="36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1221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E2303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Silnikowe ustawianie statywu w położeniach umożliwiających wykonywanie badań w całym obszarze ciała pacjenta (statyw za głową pacjenta oraz z obu boków stołu pacjenta) bez zmiany ułożenia pacjenta</w:t>
                  </w:r>
                </w:p>
              </w:tc>
              <w:tc>
                <w:tcPr>
                  <w:tcW w:w="1612" w:type="dxa"/>
                  <w:vAlign w:val="center"/>
                </w:tcPr>
                <w:p w:rsidR="008C4E42" w:rsidRPr="008C4E42" w:rsidRDefault="008C4E42" w:rsidP="008C4E42">
                  <w:pPr>
                    <w:ind w:right="36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suppressAutoHyphens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Silnikowe ustawienie statywu w pozycji parkingowej</w:t>
                  </w:r>
                </w:p>
              </w:tc>
              <w:tc>
                <w:tcPr>
                  <w:tcW w:w="1612" w:type="dxa"/>
                  <w:vAlign w:val="center"/>
                </w:tcPr>
                <w:p w:rsidR="008C4E42" w:rsidRPr="008C4E42" w:rsidRDefault="008C4E42" w:rsidP="008C4E42">
                  <w:pPr>
                    <w:ind w:right="36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suppressAutoHyphens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Ręczne (manualne) ustawianie statywu w pozycji parkingowej za pomocą zamocowanych po obu stronach statywu uchwytach  z możliwością zwalniania blokady ruchu statywu.</w:t>
                  </w:r>
                </w:p>
              </w:tc>
              <w:tc>
                <w:tcPr>
                  <w:tcW w:w="1612" w:type="dxa"/>
                  <w:vAlign w:val="center"/>
                </w:tcPr>
                <w:p w:rsidR="008C4E42" w:rsidRPr="008C4E42" w:rsidRDefault="008C4E42" w:rsidP="008C4E42">
                  <w:pPr>
                    <w:ind w:right="3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Tak/Nie,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Tak – 10 pkt</w:t>
                  </w:r>
                </w:p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Nie – 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Obszar badania pacjenta bez konieczności przekładania/przesuwania go na stole (cm) Min. 220 cm</w:t>
                  </w:r>
                </w:p>
              </w:tc>
              <w:tc>
                <w:tcPr>
                  <w:tcW w:w="1612" w:type="dxa"/>
                  <w:vAlign w:val="center"/>
                </w:tcPr>
                <w:p w:rsidR="008C4E42" w:rsidRPr="008C4E42" w:rsidRDefault="008C4E42" w:rsidP="008C4E42">
                  <w:pPr>
                    <w:ind w:right="36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Tak/Nie,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 – 10 pkt</w:t>
                  </w:r>
                </w:p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Nie – 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Głębokość ramienia C lub G mierzona od promienia centralnego do wewnętrznej krawędzi ramienia &gt; 100 cm</w:t>
                  </w:r>
                </w:p>
              </w:tc>
              <w:tc>
                <w:tcPr>
                  <w:tcW w:w="1612" w:type="dxa"/>
                  <w:vAlign w:val="center"/>
                </w:tcPr>
                <w:p w:rsidR="008C4E42" w:rsidRPr="008C4E42" w:rsidRDefault="008C4E42" w:rsidP="008C4E42">
                  <w:pPr>
                    <w:ind w:right="36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Tak/Nie,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 – 10 pkt</w:t>
                  </w:r>
                </w:p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Nie – 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Zakres projekcji LAO/RAO [°] w pozycji statywu za głową pacjenta ≥ 210°</w:t>
                  </w:r>
                </w:p>
              </w:tc>
              <w:tc>
                <w:tcPr>
                  <w:tcW w:w="1612" w:type="dxa"/>
                  <w:vAlign w:val="center"/>
                </w:tcPr>
                <w:p w:rsidR="008C4E42" w:rsidRPr="008C4E42" w:rsidRDefault="008C4E42" w:rsidP="008C4E42">
                  <w:pPr>
                    <w:ind w:right="3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Podać zakres i wartości w obu kierunkach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&lt; 300° – 0pkt</w:t>
                  </w:r>
                </w:p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≥ 300° – 10pkt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Zakres projekcji CRAN/CAUD [°] w pozycji statywu za głową pacjenta ≥ 90°</w:t>
                  </w:r>
                </w:p>
              </w:tc>
              <w:tc>
                <w:tcPr>
                  <w:tcW w:w="1612" w:type="dxa"/>
                  <w:vAlign w:val="center"/>
                </w:tcPr>
                <w:p w:rsidR="008C4E42" w:rsidRPr="008C4E42" w:rsidRDefault="008C4E42" w:rsidP="008C4E42">
                  <w:pPr>
                    <w:ind w:right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Podać zakres i wartości w obu kierunkach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&lt;180°/s – 0pkt</w:t>
                  </w:r>
                </w:p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≥180°/s – 10pkt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Maksymalna szybkość ruchów statywu [°/s] w płaszczyźnie LAO/RAO w pozycji statywu za głową pacjenta ≥ 20°/s</w:t>
                  </w:r>
                </w:p>
              </w:tc>
              <w:tc>
                <w:tcPr>
                  <w:tcW w:w="1612" w:type="dxa"/>
                </w:tcPr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&gt;20°/s – 10 pkt</w:t>
                  </w:r>
                </w:p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= 20°/s – 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Maksymalna szybkość ruchów statywu [°/s] w płaszczyźnie CRAN/CAUD w pozycji statywu za głową pacjenta ≥ 20°/s</w:t>
                  </w:r>
                </w:p>
              </w:tc>
              <w:tc>
                <w:tcPr>
                  <w:tcW w:w="1612" w:type="dxa"/>
                </w:tcPr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&gt;20°/s – 10 pkt</w:t>
                  </w:r>
                </w:p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= 20°/s – 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Szybkość ruchów statywu [°/s] przy wykonywaniu angiografii rotacyjnej ≥ 40°/s</w:t>
                  </w:r>
                </w:p>
              </w:tc>
              <w:tc>
                <w:tcPr>
                  <w:tcW w:w="1612" w:type="dxa"/>
                </w:tcPr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&lt; 50°/s – 10pkt</w:t>
                  </w:r>
                </w:p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≥ 50°/s – 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Automatyczny, zmotoryzowany, obrót detektora i przesłon dla kompensacji obrotu obrazu przy zmianie położenia statywu dla dowolnej pozycji statywu lub rozwiązanie elektroniczne</w:t>
                  </w:r>
                </w:p>
              </w:tc>
              <w:tc>
                <w:tcPr>
                  <w:tcW w:w="1612" w:type="dxa"/>
                </w:tcPr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Automatyczne ustawianie statywu (</w:t>
                  </w:r>
                  <w:proofErr w:type="spellStart"/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angulacje</w:t>
                  </w:r>
                  <w:proofErr w:type="spellEnd"/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 xml:space="preserve"> statywu, pozycje przysłon i odległość cyfrowego detektora od lampy </w:t>
                  </w:r>
                  <w:proofErr w:type="spellStart"/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rtg</w:t>
                  </w:r>
                  <w:proofErr w:type="spellEnd"/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) w pozycji odpowiadającej wybranemu obrazowi referencyjnemu 2D</w:t>
                  </w:r>
                </w:p>
              </w:tc>
              <w:tc>
                <w:tcPr>
                  <w:tcW w:w="1612" w:type="dxa"/>
                </w:tcPr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Pamięć pozycji statywu min. 50 pozycji</w:t>
                  </w:r>
                </w:p>
              </w:tc>
              <w:tc>
                <w:tcPr>
                  <w:tcW w:w="1612" w:type="dxa"/>
                </w:tcPr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Automatyczna kontrola pozycji w celu zapisu i przywoływania pozycji spoczynkowych pozycjonera. Możliwość wybrania sekwencji pozycji ze wstępnie skonfigurowanej listy, użyć pozycji zapisanej podczas zabiegu lub użyć pozycji wskazanej na obrazie.</w:t>
                  </w:r>
                </w:p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Możliwość zapisania i przywołania co najmniej 70 pozycji uwzględniających jednocześnie:</w:t>
                  </w:r>
                </w:p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projekcję ramienia C, położenie ramienia C w osi wzdłużnej, położenie i wysokości płyty stołu, SID w zakresie wszystkich wymaganych sposobów przywołania pozycji.</w:t>
                  </w:r>
                </w:p>
                <w:p w:rsidR="008C4E42" w:rsidRPr="008C4E42" w:rsidRDefault="008C4E42" w:rsidP="008C4E42">
                  <w:pPr>
                    <w:ind w:right="29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Dojazd ramienia C oraz blatu stołu do zaprogramowanej pozycji odbywa się automatycznie w sposób zmotoryzowany.</w:t>
                  </w:r>
                </w:p>
              </w:tc>
              <w:tc>
                <w:tcPr>
                  <w:tcW w:w="1612" w:type="dxa"/>
                  <w:vAlign w:val="center"/>
                </w:tcPr>
                <w:p w:rsidR="008C4E42" w:rsidRPr="008C4E42" w:rsidRDefault="008C4E42" w:rsidP="008C4E42">
                  <w:pPr>
                    <w:ind w:right="3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Tak/Nie,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ind w:right="29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Przywoływanie pozycji systemu na podstawie obrazu na monitorze life i referencyjnym w zakresie co najmniej:</w:t>
                  </w:r>
                </w:p>
                <w:p w:rsidR="008C4E42" w:rsidRPr="008C4E42" w:rsidRDefault="008C4E42" w:rsidP="008C4E42">
                  <w:pPr>
                    <w:ind w:right="29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projekcję ramienia C, położenie ramienia C w osi wzdłużnej, położenie i wysokości płyty stołu, SID i położenie przesłon oraz przesłon półprzepuszczalnych, powiększenia detektora (FOV) w zakresie wszystkich wymaganych sposobów przywołania pozycji</w:t>
                  </w:r>
                </w:p>
              </w:tc>
              <w:tc>
                <w:tcPr>
                  <w:tcW w:w="1612" w:type="dxa"/>
                  <w:vAlign w:val="center"/>
                </w:tcPr>
                <w:p w:rsidR="008C4E42" w:rsidRPr="008C4E42" w:rsidRDefault="008C4E42" w:rsidP="008C4E42">
                  <w:pPr>
                    <w:ind w:right="3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Tak/Nie,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ind w:right="29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System zabezpieczenia pacjenta przed kolizją</w:t>
                  </w:r>
                </w:p>
              </w:tc>
              <w:tc>
                <w:tcPr>
                  <w:tcW w:w="1612" w:type="dxa"/>
                  <w:vAlign w:val="center"/>
                </w:tcPr>
                <w:p w:rsidR="008C4E42" w:rsidRPr="008C4E42" w:rsidRDefault="008C4E42" w:rsidP="008C4E42">
                  <w:pPr>
                    <w:ind w:right="34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Zabezpieczenia elektromechaniczne oraz bezdotykowe w oparciu o czujniki wykrywające pacjenta w czasie rzeczywistym –10 pkt</w:t>
                  </w:r>
                </w:p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Pozostałe – 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ind w:right="37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Wyświetlanie danych systemowych w sali badań (np. </w:t>
                  </w:r>
                  <w:proofErr w:type="spellStart"/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angulacja</w:t>
                  </w:r>
                  <w:proofErr w:type="spellEnd"/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ramienia C, FOV, pozycja stołu, informacja o dawce i statusie cieplnym lampy RTG)</w:t>
                  </w:r>
                </w:p>
              </w:tc>
              <w:tc>
                <w:tcPr>
                  <w:tcW w:w="1612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vAlign w:val="center"/>
                </w:tcPr>
                <w:p w:rsidR="008C4E42" w:rsidRPr="008C4E42" w:rsidRDefault="008C4E42" w:rsidP="008C4E42">
                  <w:pPr>
                    <w:ind w:right="328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Sterowanie ruchami statywu i stołu przy stole pacjenta (pulpit  sterujący)</w:t>
                  </w:r>
                </w:p>
              </w:tc>
              <w:tc>
                <w:tcPr>
                  <w:tcW w:w="1612" w:type="dxa"/>
                  <w:vAlign w:val="center"/>
                </w:tcPr>
                <w:p w:rsidR="008C4E42" w:rsidRPr="008C4E42" w:rsidRDefault="008C4E42" w:rsidP="008C4E42">
                  <w:pPr>
                    <w:ind w:right="3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b/>
                      <w:bCs/>
                      <w:sz w:val="18"/>
                      <w:szCs w:val="18"/>
                    </w:rPr>
                  </w:pPr>
                  <w:r w:rsidRPr="008C4E42">
                    <w:rPr>
                      <w:b/>
                      <w:bCs/>
                      <w:sz w:val="18"/>
                      <w:szCs w:val="18"/>
                    </w:rPr>
                    <w:t>III</w:t>
                  </w: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Stół pacjenta</w:t>
                  </w:r>
                </w:p>
              </w:tc>
              <w:tc>
                <w:tcPr>
                  <w:tcW w:w="1612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3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94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Stół stacjonarny, mocowany na stałe do podłogi, z pływającym blatem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Przesuw wzdłużny płyty pacjenta min. 100 [cm]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Zakres przesuwu poprzecznego płyty pacjenta min. 30 [cm]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≤ 35 cm – 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&gt;35 cm – 10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Zakres obrotu stołu wokół osi pionowej (°) Zakres ≥240°,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=240° – 0 pkt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&gt;240° – 10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Blat z włókna węglowego,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Szerokość blatu z włókna węglowego  ≥ 50 cm 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Tak/Nie,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Długość płyty pacjenta ≥ 300 cm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Tak/Nie,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Regulacja wysokości stołu min. 20  [cm]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Dopuszczalne obciążenie statyczne stołu min. 275 [kg]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Dopuszczenie wykonywania akcji reanimacyjnej na wysuniętym blacie stołu przy założeniu, że łączne obciążenie stołu (ciężar pacjenta, ciężar osoby prowadzącej reanimację itd.) nie przekracza podanego powyżej dopuszczalnego obciążenia stołu (brak zakazu w instrukcji obsługi oraz brak piktogramu określającego konieczność wykonywania resuscytacji nad stopą stołu)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Tak/Nie,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Pochłanialność blatu pacjenta w dowolnym miejscu w obszarze jego przezierności </w:t>
                  </w:r>
                  <w:r w:rsidRPr="008C4E42">
                    <w:rPr>
                      <w:rFonts w:eastAsia="Tahoma"/>
                      <w:sz w:val="18"/>
                      <w:szCs w:val="18"/>
                    </w:rPr>
                    <w:t>≤</w:t>
                  </w:r>
                  <w:r w:rsidRPr="008C4E42">
                    <w:rPr>
                      <w:sz w:val="18"/>
                      <w:szCs w:val="18"/>
                    </w:rPr>
                    <w:t xml:space="preserve"> ekwiwalent 1,0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mmAl</w:t>
                  </w:r>
                  <w:proofErr w:type="spellEnd"/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Tak/Nie,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Akcesoria min.: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- materac na  długość blatu ,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- podkładka (przepuszczalna dla promieniowania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rtg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) pod ramię przy iniekcji,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- podkładka (przepuszczalna dla promieniowania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rtg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) pod ramię przy iniekcji z regulacją wysokości i materacem,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- statyw na płyny infuzyjne,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- zestaw podkładek (przepuszczalnych dla promieniowania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rtg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) pod ramiona, zakrzywionych ku górze, zabezpieczających przed spadaniem kończyn górnych,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- podkładka z włókna węglowego do badań z dostępu radialnego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stypu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STAR SYSTEM z ruchomym stoliczkiem i podpórką pod rękę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wymienić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  <w:t>IV</w:t>
                  </w:r>
                </w:p>
              </w:tc>
              <w:tc>
                <w:tcPr>
                  <w:tcW w:w="3995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35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Generator w.cz.</w:t>
                  </w:r>
                </w:p>
              </w:tc>
              <w:tc>
                <w:tcPr>
                  <w:tcW w:w="1612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left="7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4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left="6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Maksymalna moc wyjściowa [kW]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Min. 100 kW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Minimalny czas ekspozycji </w:t>
                  </w:r>
                  <w:r w:rsidRPr="008C4E42">
                    <w:rPr>
                      <w:sz w:val="18"/>
                      <w:szCs w:val="18"/>
                      <w:u w:val="single"/>
                    </w:rPr>
                    <w:t>&lt;</w:t>
                  </w:r>
                  <w:r w:rsidRPr="008C4E42">
                    <w:rPr>
                      <w:sz w:val="18"/>
                      <w:szCs w:val="18"/>
                    </w:rPr>
                    <w:t xml:space="preserve"> 1 [ms]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Zakres napięć min. 50-125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kV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,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Funkcja automatycznego przełączania ogniska lampy RTG umożliwiająca awaryjne dokończenie zabiegu w razie awarii jednego z tych ognisk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Przejście z prześwietlenia do rejestracji sceny bez wykonywania ekspozycji/serii kontrolnych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Włącznik ekspozycji (nożny) w sali badań (do prześwietleń i zdjęć) w technologii bezprzewodowej i włącznik ekspozycji w sterowni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Sposób regulacji parametrów ekspozycji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Wersja 1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 oparciu o analizę w czasie rzeczywistym parametrów uzyskiwanego obrazu dopasowanego do indywidualnych preferencji operatora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Wersja 2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 oparciu o ilość promieniowania rejestrowaną na wejściu detektora lub inne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Tak/Nie, 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Wersja 1 – 10 pkt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Wersja 2 - 0pkt.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Dopasowanie widma promieniowania do absorpcji różnych materiałów (w tym jod, bar, żelazo, platyna, tantal, tkanka miękka, gaz) w celu zwiększenia ich widoczności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nao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brazie</w:t>
                  </w:r>
                  <w:proofErr w:type="spellEnd"/>
                </w:p>
              </w:tc>
              <w:tc>
                <w:tcPr>
                  <w:tcW w:w="16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 Nie, podać</w:t>
                  </w:r>
                </w:p>
              </w:tc>
              <w:tc>
                <w:tcPr>
                  <w:tcW w:w="169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user"/>
                    <w:rPr>
                      <w:rFonts w:eastAsia="Times New Roman" w:cs="Times New Roman"/>
                      <w:b/>
                      <w:bCs/>
                      <w:color w:val="000000"/>
                      <w:sz w:val="18"/>
                      <w:szCs w:val="18"/>
                      <w:lang w:val="pl-PL" w:eastAsia="en-US" w:bidi="ar-SA"/>
                    </w:rPr>
                  </w:pPr>
                  <w:r w:rsidRPr="008C4E42">
                    <w:rPr>
                      <w:rFonts w:eastAsia="Times New Roman" w:cs="Times New Roman"/>
                      <w:color w:val="000000"/>
                      <w:sz w:val="18"/>
                      <w:szCs w:val="18"/>
                      <w:lang w:val="pl-PL" w:eastAsia="en-US" w:bidi="ar-SA"/>
                    </w:rPr>
                    <w:t>Konfigurowalny przycisk nożnego włącznika ekspozycji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user"/>
                    <w:rPr>
                      <w:rFonts w:eastAsia="Times New Roman" w:cs="Times New Roman"/>
                      <w:color w:val="000000"/>
                      <w:sz w:val="18"/>
                      <w:szCs w:val="18"/>
                      <w:lang w:val="pl-PL" w:eastAsia="en-US" w:bidi="ar-SA"/>
                    </w:rPr>
                  </w:pPr>
                  <w:r w:rsidRPr="008C4E42">
                    <w:rPr>
                      <w:rFonts w:cs="Times New Roman"/>
                      <w:sz w:val="18"/>
                      <w:szCs w:val="18"/>
                      <w:lang w:val="pl-PL"/>
                    </w:rPr>
                    <w:t>Włącznik ekspozycji (nożny) w sali badań (do prześwietleń i zdjęć) w technologii bezprzewodowej i włącznik ekspozycji w sterowni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ind w:right="3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user"/>
                    <w:rPr>
                      <w:rFonts w:eastAsia="Times New Roman" w:cs="Times New Roman"/>
                      <w:color w:val="000000"/>
                      <w:sz w:val="18"/>
                      <w:szCs w:val="18"/>
                      <w:lang w:val="pl-PL" w:eastAsia="en-US" w:bidi="ar-SA"/>
                    </w:rPr>
                  </w:pPr>
                  <w:r w:rsidRPr="008C4E42">
                    <w:rPr>
                      <w:rFonts w:eastAsia="Times New Roman" w:cs="Times New Roman"/>
                      <w:color w:val="000000"/>
                      <w:sz w:val="18"/>
                      <w:szCs w:val="18"/>
                      <w:lang w:val="pl-PL" w:eastAsia="en-US" w:bidi="ar-SA"/>
                    </w:rPr>
                    <w:t>Włącznik ekspozycji zdjęciowej w sterowni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 Nie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5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  <w:t>V</w:t>
                  </w:r>
                </w:p>
              </w:tc>
              <w:tc>
                <w:tcPr>
                  <w:tcW w:w="3995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Lampa RTG / przysłony</w:t>
                  </w:r>
                </w:p>
              </w:tc>
              <w:tc>
                <w:tcPr>
                  <w:tcW w:w="1612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Podać typ lampy</w:t>
                  </w:r>
                </w:p>
              </w:tc>
              <w:tc>
                <w:tcPr>
                  <w:tcW w:w="1694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Lampa min. 2-ogniskowa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2 ogniska – 0 pkt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3 ogniska – 10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Ułożyskowanie anody bezszumowe (w łożysku „płynnym”)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Wymiar największego ogniska ≤ 1 [mm]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≤ 0,8 [mm] – 10 pkt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&gt;0,8mm – 0pkt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Maksymalna obciążalność największego ogniska Min. 65 kW,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 zgodnie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z PN-EN/IEC 60613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Wymiar najmniejszego ogniska </w:t>
                  </w:r>
                  <w:r w:rsidRPr="008C4E42">
                    <w:rPr>
                      <w:sz w:val="18"/>
                      <w:szCs w:val="18"/>
                      <w:u w:val="single"/>
                    </w:rPr>
                    <w:t>&lt;</w:t>
                  </w:r>
                  <w:r w:rsidRPr="008C4E42">
                    <w:rPr>
                      <w:sz w:val="18"/>
                      <w:szCs w:val="18"/>
                    </w:rPr>
                    <w:t xml:space="preserve"> 0,6 [mm]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≤ 0,4 [mm] – 10 pkt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&gt;0,4mm – 0pkt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Maksymalna obciążalność najmniejszego ogniska min. 30 kW,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 zgodnie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z PN-EN/IEC 60613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Sterowanie siatką – mechanizm redukcji promieniowania resztkowego przy przełączaniu impulsów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Pojemność cieplna anody i szybkość chłodzenia układu anoda-kołpak gwarantująca nieprzerwane działanie lampy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Pojemność cieplna anody ≥ 5000 [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kHU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≥ 5500 [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kHU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] – 10 pkt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&lt; 5500 [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kHU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] – 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Pojemność cieplna kołpaka ≥ 7000 [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kHU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≥ 7500 [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kHU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] – 10 pkt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&lt; 7500 [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kHU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]  - 0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Maks. prąd anody przy prześwietleniu pulsacyjnym z wykorzystaniem małego ogniska ≥ 140 [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mA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  <w:tcBorders>
                    <w:bottom w:val="single" w:sz="4" w:space="0" w:color="auto"/>
                  </w:tcBorders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color w:val="000000"/>
                      <w:sz w:val="18"/>
                      <w:szCs w:val="18"/>
                    </w:rPr>
                    <w:t xml:space="preserve">Promieniowanie przeciekowe kołpaka przy min. 125 </w:t>
                  </w:r>
                  <w:proofErr w:type="spellStart"/>
                  <w:r w:rsidRPr="008C4E42">
                    <w:rPr>
                      <w:color w:val="000000"/>
                      <w:sz w:val="18"/>
                      <w:szCs w:val="18"/>
                    </w:rPr>
                    <w:t>kV</w:t>
                  </w:r>
                  <w:proofErr w:type="spellEnd"/>
                  <w:r w:rsidRPr="008C4E42">
                    <w:rPr>
                      <w:color w:val="000000"/>
                      <w:sz w:val="18"/>
                      <w:szCs w:val="18"/>
                    </w:rPr>
                    <w:t xml:space="preserve"> min. 2000 W i w odległości max. 1 m ≤ 0,5 </w:t>
                  </w:r>
                  <w:proofErr w:type="spellStart"/>
                  <w:r w:rsidRPr="008C4E42">
                    <w:rPr>
                      <w:color w:val="000000"/>
                      <w:sz w:val="18"/>
                      <w:szCs w:val="18"/>
                    </w:rPr>
                    <w:t>mGy</w:t>
                  </w:r>
                  <w:proofErr w:type="spellEnd"/>
                  <w:r w:rsidRPr="008C4E42">
                    <w:rPr>
                      <w:color w:val="000000"/>
                      <w:sz w:val="18"/>
                      <w:szCs w:val="18"/>
                    </w:rPr>
                    <w:t>/h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  <w:tcBorders>
                    <w:bottom w:val="single" w:sz="4" w:space="0" w:color="auto"/>
                  </w:tcBorders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  <w:bookmarkStart w:id="0" w:name="_Hlk179794861"/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Maksymalne obciążenie lampy mocą ciągłą w trakcie prześwietlenia (dla min. 15min) [W] &gt;2000 W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</w:tcBorders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Przysłona prostokątna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Min. 1 filtr półprzepuszczalny (klinowy) z możliwością obrotu, dla aplikacji kardiologicznych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Dodatkowa filtracja promieniowania (np. filtry miedziowe) przy prześwietleniu i ekspozycjach zdjęciowych/scenach min. odpowiednik 0,9 mm Cu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=0,9 mm Cu  – 0 pkt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&gt;0,9 mm Cu – 10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Ilość stopni filtracji miedziowej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Min. 3 wartości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Automatyczny dobór (z uwzględnieniem zmiennej grubości pacjenta przy różnych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angulacjach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) oraz samoczynne wsuwanie (silnikowe, bez ingerencji obsługi) dodatkowej (poza inherentną lampy) filtracji miedziowej w celu redukcji dawki i poprawy jakości obrazu – przy fluoroskopii i przy akwizycji zdjęciowej lub stała dodatkowa filtracja promieniowania (np. filtry miedziowe) przy prześwietleniu i ekspozycjach zdjęciowych/scenach min. odpowiednik &gt; 0,9 mm Cu (podać rozwiązanie)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1411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Pomiar dawki promieniowania na wyjściu z lampy RTG wraz z prezentacją sumarycznej dawki z prześwietlenia i akwizycji w trybie zdjęciowym na monitorze/wyświetlaczu w sali zabiegowej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 nazwę zaoferowanej opcji realizującej tę funkcję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  <w:t>VI</w:t>
                  </w:r>
                </w:p>
              </w:tc>
              <w:tc>
                <w:tcPr>
                  <w:tcW w:w="3995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  <w:t>Rentgenowski tor obrazowania z detektorem płaskim</w:t>
                  </w:r>
                </w:p>
              </w:tc>
              <w:tc>
                <w:tcPr>
                  <w:tcW w:w="1612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19"/>
                    <w:jc w:val="center"/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4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19"/>
                    <w:jc w:val="center"/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</w:p>
              </w:tc>
            </w:tr>
            <w:bookmarkEnd w:id="0"/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Detektor matrycowy o wymiarach przekątnej nie mniej niż 29 cm i nie większej niż 45cm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Wartość typowa DQE </w:t>
                  </w:r>
                  <w:r w:rsidRPr="008C4E42">
                    <w:rPr>
                      <w:sz w:val="18"/>
                      <w:szCs w:val="18"/>
                      <w:u w:val="single"/>
                    </w:rPr>
                    <w:t>&gt;</w:t>
                  </w:r>
                  <w:r w:rsidRPr="008C4E42">
                    <w:rPr>
                      <w:sz w:val="18"/>
                      <w:szCs w:val="18"/>
                    </w:rPr>
                    <w:t xml:space="preserve"> 73 [%]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Wielkość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pixela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</w:t>
                  </w:r>
                  <w:r w:rsidRPr="008C4E42">
                    <w:rPr>
                      <w:sz w:val="18"/>
                      <w:szCs w:val="18"/>
                      <w:u w:val="single"/>
                    </w:rPr>
                    <w:t>&lt;</w:t>
                  </w:r>
                  <w:r w:rsidRPr="008C4E42">
                    <w:rPr>
                      <w:sz w:val="18"/>
                      <w:szCs w:val="18"/>
                    </w:rPr>
                    <w:t xml:space="preserve">  170 [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μm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 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5C7B55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Monitor obrazowy w sali zabiegowej o przekątnej min. 55”, z zawieszeniem sufitowym z możliwością swobodnego pozycjonowania monitora z min 3 stron stołu.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Możliwość jednoczesnej prezentacji: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- obrazu live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- obrazu referencyjnego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- parametrów systemu monitorowania czynności życiowych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- obrazów systemów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elektroanatomicznych</w:t>
                  </w:r>
                  <w:proofErr w:type="spellEnd"/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- obrazów z urządzeń zewnętrznych generujących zarówno analogowy (min. VGA, S-Video i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composite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) - wraz z zapewnieniem odpowiedniej separacji galwanicznej - jak i cyfrowy (DVI-D) sygnał wizyjny wraz z dedykowanym panelem umożliwiającym podłączanie takich urządzeń (np. USG, IVUS)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Nagwek61"/>
                    <w:keepNext/>
                    <w:snapToGrid w:val="0"/>
                    <w:jc w:val="center"/>
                    <w:rPr>
                      <w:rFonts w:eastAsia="Times New Roman" w:cs="Times New Roman"/>
                      <w:sz w:val="18"/>
                      <w:szCs w:val="18"/>
                      <w:lang w:val="pl-PL"/>
                    </w:rPr>
                  </w:pPr>
                  <w:r w:rsidRPr="008C4E42">
                    <w:rPr>
                      <w:rFonts w:eastAsia="Times New Roman" w:cs="Times New Roman"/>
                      <w:sz w:val="18"/>
                      <w:szCs w:val="18"/>
                      <w:lang w:val="pl-PL"/>
                    </w:rPr>
                    <w:t>Tak, podać wielkość przekątnej monitora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8C4E42">
                    <w:rPr>
                      <w:sz w:val="18"/>
                      <w:szCs w:val="18"/>
                      <w:lang w:val="en-US"/>
                    </w:rPr>
                    <w:t>Monitor =55’’ – 0 pkt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8C4E42">
                    <w:rPr>
                      <w:sz w:val="18"/>
                      <w:szCs w:val="18"/>
                      <w:lang w:val="en-US"/>
                    </w:rPr>
                    <w:t>Monitor &gt;55’’ – 10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Osłona dla monitora opisanego powyżej z materiału antyrefleksyjnego, zmniejszająca ryzyko mechanicznego uszkodzenia ekranu i zabezpieczająca go przed działaniem cieczy z możliwością łatwego (bez użycia narzędzi) jej zdemontowania w celu umycia lub monitor wyposażony w zintegrowana szybę o wytrzymałości wystarczającej do zabezpieczenia go przed uszkodzeniami mechanicznymi i działaniem cieczy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Co najmniej 8  wejść sygnałowych umożliwiających jednoczasowe podłączenie sygnałów do prezentacji na monitorze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multiformatowym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z możliwością wyboru prezentowanych obrazów (min. w standardzie DVI oraz VGA, obraz live, obraz referencyjny, hemodynamika, rekonstrukcje 3D, możliwość podłączenia USG, , US wewnątrznaczyniowego,  system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elektroanatomiczny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3D)  Rozmieszczenie gniazd wejściowych na sali zabiegowej, w tym z tyłu monitora, jak i w sterowni po wcześniejszym uzgodnieniu z Zamawiającym.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 ilość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Liczba pól roboczych dla jednoczasowej prezentacji obrazów na monitorze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multiformatowym</w:t>
                  </w:r>
                  <w:proofErr w:type="spellEnd"/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Tak, </w:t>
                  </w:r>
                  <w:r w:rsidRPr="008C4E42">
                    <w:rPr>
                      <w:sz w:val="18"/>
                      <w:szCs w:val="18"/>
                      <w:u w:val="single"/>
                    </w:rPr>
                    <w:t>&gt;</w:t>
                  </w:r>
                  <w:r w:rsidRPr="008C4E42">
                    <w:rPr>
                      <w:sz w:val="18"/>
                      <w:szCs w:val="18"/>
                    </w:rPr>
                    <w:t xml:space="preserve"> 8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Wybór sygnału wejściowego oraz przełączanie obrazów przy pomocy ekranu dotykowego zlokalizowanego bezpośrednio przy stole operatora metodą ,,przyciągnij i upuść”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Możliwość dowolnej liczby manipulacji podziałami monitora, niezależnie od wcześniejszego zaprogramowania, łącznie z powiększeniem jednego z obrazów. Możliwość zmiany rozmiaru obrazu wideo w czasie rzeczywistym i dostosowywania układu ekranu podczas procedury bez korzystania z ustawień konfiguracji. Możliwość tworzenia dowolnej liczby elastycznych układów ekranów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Standard obrazów DICOM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rFonts w:eastAsia="Tahoma"/>
                      <w:sz w:val="18"/>
                      <w:szCs w:val="18"/>
                    </w:rPr>
                  </w:pPr>
                  <w:r w:rsidRPr="008C4E42">
                    <w:rPr>
                      <w:rFonts w:eastAsia="Tahoma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Wybór zaprogramowanych układów obrazów na monitorze z pulpitu przy stole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Wyprowadzenie (gniazdo) sygnałów obrazu live i referencyjnego umożliwiające transmisję poza pracownię.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Minimum 2 monitory obrazowe typu ”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flat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” (TFT/LCD) w sterowni (z możliwością wyświetlania obrazów w czasie rzeczywistym i obrazów referencyjnych) o przekątnej minimum 24"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8C4E42">
                    <w:rPr>
                      <w:rFonts w:eastAsia="Times New Roman"/>
                      <w:sz w:val="18"/>
                      <w:szCs w:val="18"/>
                    </w:rPr>
                    <w:t>Tak, podać wielkość przekątnej monitorów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  <w:t>VII</w:t>
                  </w:r>
                </w:p>
              </w:tc>
              <w:tc>
                <w:tcPr>
                  <w:tcW w:w="3995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18"/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  <w:t xml:space="preserve">System cyfrowy, </w:t>
                  </w:r>
                  <w:proofErr w:type="spellStart"/>
                  <w:r w:rsidRPr="008C4E42"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  <w:t>postprocessing</w:t>
                  </w:r>
                  <w:proofErr w:type="spellEnd"/>
                  <w:r w:rsidRPr="008C4E42"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  <w:t>, obrazowanie 3D, archiwizacja</w:t>
                  </w:r>
                </w:p>
              </w:tc>
              <w:tc>
                <w:tcPr>
                  <w:tcW w:w="1612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19"/>
                    <w:jc w:val="center"/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4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19"/>
                    <w:jc w:val="center"/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  <w:highlight w:val="yellow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System wyposażony w pakiet aplikacji, rozwiązań technicznych i specjalizowanych algorytmów działających w czasie rzeczywistym, redukujących dawkę promieniowania, poprawiających jakość uzyskiwanego obrazu i umożliwiających obrazowanie z obniżoną dawką promieniowania (np. typu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DoseRite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Care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+,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Clear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DoseWise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- zależnie od nomenklatury producenta)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 nazwę, opisać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spacing w:line="240" w:lineRule="auto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Najbardziej zaawansowane rozwiązanie dla danego producenta stosowane w systemach angiograficznych, zapewniające użytkownikowi wyjątkową czułość, jakość obrazowania oraz ultra niską dawkę promieniowania poprzez:</w:t>
                  </w:r>
                </w:p>
                <w:p w:rsidR="008C4E42" w:rsidRPr="008C4E42" w:rsidRDefault="008C4E42" w:rsidP="008C4E42">
                  <w:pPr>
                    <w:pStyle w:val="Standard"/>
                    <w:spacing w:line="240" w:lineRule="auto"/>
                    <w:rPr>
                      <w:b/>
                      <w:sz w:val="18"/>
                      <w:szCs w:val="18"/>
                    </w:rPr>
                  </w:pPr>
                </w:p>
                <w:p w:rsidR="008C4E42" w:rsidRPr="008C4E42" w:rsidRDefault="008C4E42" w:rsidP="008C4E42">
                  <w:pPr>
                    <w:pStyle w:val="Standard"/>
                    <w:spacing w:line="240" w:lineRule="auto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Wariant 1 System redukcji dawki dodatkowy (opcjonalny), działający niezależnie od zmian ustawień przesłon,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klatkowania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, aktywnego pola obrazowania detektora lub odległości SID, obniżający poziom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kermy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w powietrzu o co najmniej 50% w stosunku do systemu bez tej funkcjonalności przy zachowaniu wartości diagnostycznej otrzymywanego obrazu. </w:t>
                  </w:r>
                </w:p>
                <w:p w:rsidR="008C4E42" w:rsidRPr="008C4E42" w:rsidRDefault="008C4E42" w:rsidP="008C4E42">
                  <w:pPr>
                    <w:pStyle w:val="Standard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lub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  <w:highlight w:val="yellow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Wariant  2  Samodzielnie korygujące się algorytmy przetwarzania obrazu, dopasowujące jego jakość do osobistej percepcji użytkownika; każdy piksel analizowany jest w czasie rzeczywistym, krawędzie naczyń wyostrzane, drobne struktury – lepiej uwidocznione.. 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lub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  <w:highlight w:val="yellow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 Wariant 3. sieci neuronowe dynamicznie sterujące parametrami ekspozycji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 wariant, nazwę, opisać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Wariant 1 – 10 pkt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Pozostałe – 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Filtracja on-line zbieranych danych obrazowych przez system cyfrowy przed ich prezentacją na monitorze obrazowym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opisać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Cyfrowa fluoroskopia pulsacyjna w zakresie od 4 obrazów/s do 30 pulsów/s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 wartości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Cyfrowe prześwietlenie pulsacyjne w zakresie od 0,5 obrazów/s do 2,5 pulsów/s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Cyfrowe prześwietlenie pulsacyjne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trygerowane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przebiegiem EKG (wyzwalane załamkiem R)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Zapis ostatnich obrazów fluoroskopii (ostatnia pętla) na HD min. 450 obrazów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&lt; 1600 obrazów – 0 pkt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≥ 1600 obrazów – 10 pkt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Akwizycja i zapis na HDD (dysku twardym) obrazów w matrycy min. 1024 x 1024 pikseli w zakresie od 0,5 do 30 obrazów/s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 wartości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Matryca prezentacyjna min. 1024 x 1024 pikseli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Rzeczywista głębokość przetwarzania systemu cyfrowego </w:t>
                  </w:r>
                  <w:r w:rsidRPr="008C4E42">
                    <w:rPr>
                      <w:sz w:val="18"/>
                      <w:szCs w:val="18"/>
                      <w:u w:val="single"/>
                    </w:rPr>
                    <w:t>&gt;</w:t>
                  </w:r>
                  <w:r w:rsidRPr="008C4E42">
                    <w:rPr>
                      <w:sz w:val="18"/>
                      <w:szCs w:val="18"/>
                    </w:rPr>
                    <w:t xml:space="preserve"> 12 bit dla scen kardiologicznych w matrycy 1024x1024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Pamięć obrazów na HD min. 50 000 obrazów w matrycy 1024 x 1024 x min. bez kompresji stratnej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Pamięć ostatniego obrazu (LIH)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Szybkość akwizycji obrazów w trybach DR - radiografii cyfrowej na dysk twardy aparatu w matrycy 1024 x 1024 w zakresie nie mniejszym niż od 1 do 6 obrazów/s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Ustawianie położenia przysłon znacznikami graficznymi na obrazie zatrzymanym, bez promieniowania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Automatyczne podążanie przesłon półprzepuszczalnych podczas zmiany projekcji kardiologicznych – automatyczny dobór położenia przesłon zależnie od zastosowanej projekcji i wybranej tętnicy wieńcowej zapewniający redukcją dawki promieniowania oraz kompensację jasności obrazu (przysłonięcie płuc)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Ustawianie położenia płyty pacjenta znacznikami graficznymi na obrazie zatrzymanym, bez promieniowania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Wizualizacja aktualnie wybranego pola obrazowania znacznikami graficznymi na zatrzymanym obrazie, bez promieniowania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Zoom w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postprocessingu</w:t>
                  </w:r>
                  <w:proofErr w:type="spellEnd"/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Heading21"/>
                    <w:keepNext/>
                    <w:snapToGrid w:val="0"/>
                    <w:rPr>
                      <w:rFonts w:eastAsia="Times New Roman" w:cs="Times New Roman"/>
                      <w:sz w:val="18"/>
                      <w:szCs w:val="18"/>
                      <w:lang w:val="pl-PL"/>
                    </w:rPr>
                  </w:pPr>
                  <w:r w:rsidRPr="008C4E42">
                    <w:rPr>
                      <w:rFonts w:eastAsia="Times New Roman" w:cs="Times New Roman"/>
                      <w:sz w:val="18"/>
                      <w:szCs w:val="18"/>
                      <w:lang w:val="pl-PL"/>
                    </w:rPr>
                    <w:t>Sterowanie parametrami ekspozycji z poziomu ekranu dotykowego przy stole pacjenta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Oprogramowanie do analizy naczyń tj. automatyczna  i manualna kalibracja, pomiary odległości i kątów.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Sterowanie funkcjami systemu cyfrowego z pulpitu sterowniczego systemu cyfrowego w sali badań.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rFonts w:eastAsia="Arial"/>
                      <w:sz w:val="18"/>
                      <w:szCs w:val="18"/>
                    </w:rPr>
                  </w:pPr>
                  <w:r w:rsidRPr="008C4E42">
                    <w:rPr>
                      <w:rFonts w:eastAsia="Arial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Angiografia rotacyjna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Rysowanie konturów naczyń na panelu dotykowym przy stole pacjenta wraz z nałożeniem narysowanych konturów na fluoroskopię w czasie rzeczywistym. 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proofErr w:type="spellStart"/>
                  <w:r w:rsidRPr="008C4E42">
                    <w:rPr>
                      <w:sz w:val="18"/>
                      <w:szCs w:val="18"/>
                    </w:rPr>
                    <w:t>Atriografia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3D umożliwiająca tworzenie trójwymiarowego obrazu lewego przedsionka przez angiografię rotacyjną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Eksport obrazu live, referencyjnego oraz rekonstrukcji lewego przedsionka do systemów min.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Carto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EnSite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Rythmia</w:t>
                  </w:r>
                  <w:proofErr w:type="spellEnd"/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proofErr w:type="spellStart"/>
                  <w:r w:rsidRPr="008C4E42">
                    <w:rPr>
                      <w:sz w:val="18"/>
                      <w:szCs w:val="18"/>
                    </w:rPr>
                    <w:t>Roadmap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3D z automatyczną korektą położenia obiektu w rekonstrukcji trójwymiarowej względem nałożonego obrazu dwuwymiarowego z prześwietlenia (uwzględniającą zmiany ruchów statywu stołu, powiększenia i odległości SID)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Prezentacja konturów / obrysu obiektu 3D uzyskanego z rekonstrukcji danych z angiografii rotacyjnej wraz z zastosowaniem takiego obrazu jako maski do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roadmapu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3D z automatyczną korektą położenia obiektu 3D względem nałożonego obrazu 2D z prześwietlenia, uwzględniającą zmiany położenia statywu i stołu, powiększenia i odległości SID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Oprogramowanie do wirtualnej endoskopii umożliwiające ocenę anatomii lewego przedsionka i ujścia żył płucnych oraz pomiar średnicy ujścia żył płucnych a także uszka lewego przedsionka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Oprogramowanie do rekonstrukcji 3D zatoki wieńcowej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Oprogramowanie do planowania i prowadzenia zabiegów ablacji a także wszczepiania kardiowerterów, umożliwiające pozycjonowanie markerów (punkty i linie) na powierzchni obiektu / w obiekcie 3D, uzyskanego / uzyskanym z rekonstrukcji danych z angiografii rotacyjnej wraz z zastosowaniem takiego obrazu jako maski do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roadmapu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3D z automatyczną korektą położenia obiektu 3D względem nałożonego obrazu 2D z prześwietlenia, uwzględniającą zmiany położenia statywu i stołu, powiększenia i odległości SID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Automatyczny obrót obiektu w rekonstrukcji trójwymiarowej do położenia odpowiadającego trójwymiarowemu widokowi obiektu po zmianie położenia statywu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Automatyczne ustawienie statywu w pozycji odpowiadającej obróconemu obiektowi trójwymiarowemu lub podążanie modelu 3D za kątem ramienia co umożliwia błyskawiczną reakcję systemu bez konieczności używania dodatkowych przycisków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Nałożenie segmentowanego obrazu struktur serca z MR, CT,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Angio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rotacyjnego na obraz 2D fluoroskopii na żywo.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rFonts w:eastAsia="Arial"/>
                      <w:sz w:val="18"/>
                      <w:szCs w:val="18"/>
                    </w:rPr>
                  </w:pPr>
                  <w:r w:rsidRPr="008C4E42">
                    <w:rPr>
                      <w:rFonts w:eastAsia="Arial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  <w:shd w:val="clear" w:color="auto" w:fill="FFFFFF" w:themeFill="background1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Wykonywanie analiz oraz pomiarów, kalibracji (również dla pacjenta innego niż bieżący), wyboru scen i kopiowania obrazów na monitor referencyjny podczas trwania fluoroskopii oraz akwizycji. Funkcjonalność realizowana bezpośrednio przez oprogramowanie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angiografu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a nie stacji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postprocesingowej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  <w:shd w:val="clear" w:color="auto" w:fill="FFFFFF" w:themeFill="background1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Możliwość zapisania wszystkich obrazów widocznych na monitorze w sali zabiegowej w formie elektronicznej (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print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screan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) z ekranu dotykowego bezpośrednio przy stole pacjenta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Tak/Nie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 – 10  pkt.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– 0 pkt.</w:t>
                  </w:r>
                </w:p>
              </w:tc>
              <w:tc>
                <w:tcPr>
                  <w:tcW w:w="1980" w:type="dxa"/>
                  <w:shd w:val="clear" w:color="auto" w:fill="FFFFFF" w:themeFill="background1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Archiwizacja scen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kardioangiograficznych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na CD-R w standardzie DICOM 3.0 z dogrywaniem programu przeglądarki DICOM umożliwiającego odtwarzanie nagranych CD-R na komputerach osobistych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  <w:shd w:val="clear" w:color="auto" w:fill="FFFFFF" w:themeFill="background1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Archiwizacja przebiegu EKG razem ze sceną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kardioangiograficzną</w:t>
                  </w:r>
                  <w:proofErr w:type="spellEnd"/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  <w:shd w:val="clear" w:color="auto" w:fill="FFFFFF" w:themeFill="background1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Odtwarzanie nagranych w standardzie DICOM (wcześniej lub na innych aparatach) płyt CD-R wraz z prezentacją odtworzonych obrazów i scen na monitorach obrazowych w sali badań oraz w sterowni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  <w:shd w:val="clear" w:color="auto" w:fill="FFFFFF" w:themeFill="background1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Interfejs sieciowy DICOM 3.0 z funkcjami: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DICOM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Worklist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(lub w stacji badań hemodynamicznych)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8C4E42">
                    <w:rPr>
                      <w:sz w:val="18"/>
                      <w:szCs w:val="18"/>
                      <w:lang w:val="en-US"/>
                    </w:rPr>
                    <w:t>DICOM Send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8C4E42">
                    <w:rPr>
                      <w:sz w:val="18"/>
                      <w:szCs w:val="18"/>
                      <w:lang w:val="en-US"/>
                    </w:rPr>
                    <w:t>DICOM Storage Commitment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8C4E42">
                    <w:rPr>
                      <w:sz w:val="18"/>
                      <w:szCs w:val="18"/>
                      <w:lang w:val="en-US"/>
                    </w:rPr>
                    <w:t>DICOM Query/Retrieve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 w:rsidRPr="008C4E42">
                    <w:rPr>
                      <w:sz w:val="18"/>
                      <w:szCs w:val="18"/>
                      <w:lang w:val="en-US"/>
                    </w:rPr>
                    <w:t>Tak</w:t>
                  </w:r>
                  <w:proofErr w:type="spellEnd"/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color w:val="auto"/>
                      <w:sz w:val="18"/>
                      <w:szCs w:val="18"/>
                    </w:rPr>
                  </w:pPr>
                  <w:r w:rsidRPr="008C4E42">
                    <w:rPr>
                      <w:color w:val="auto"/>
                      <w:sz w:val="18"/>
                      <w:szCs w:val="18"/>
                    </w:rPr>
                    <w:t>Integracja oferowanego aparatu z posiadanym przez Zamawiającego systemem PACS firmy AGFA w zakresie, min. pobierania listy pacjentów (</w:t>
                  </w:r>
                  <w:proofErr w:type="spellStart"/>
                  <w:r w:rsidRPr="008C4E42">
                    <w:rPr>
                      <w:color w:val="auto"/>
                      <w:sz w:val="18"/>
                      <w:szCs w:val="18"/>
                    </w:rPr>
                    <w:t>Modality</w:t>
                  </w:r>
                  <w:proofErr w:type="spellEnd"/>
                  <w:r w:rsidRPr="008C4E42">
                    <w:rPr>
                      <w:color w:val="auto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C4E42">
                    <w:rPr>
                      <w:color w:val="auto"/>
                      <w:sz w:val="18"/>
                      <w:szCs w:val="18"/>
                    </w:rPr>
                    <w:t>Worklist</w:t>
                  </w:r>
                  <w:proofErr w:type="spellEnd"/>
                  <w:r w:rsidRPr="008C4E42">
                    <w:rPr>
                      <w:color w:val="auto"/>
                      <w:sz w:val="18"/>
                      <w:szCs w:val="18"/>
                    </w:rPr>
                    <w:t xml:space="preserve">), pobierania z i wysyłania do archiwum PACS badań oraz przyjmowanie komunikatu potwierdzenia odebrania badania przez PACS (Storage </w:t>
                  </w:r>
                  <w:proofErr w:type="spellStart"/>
                  <w:r w:rsidRPr="008C4E42">
                    <w:rPr>
                      <w:color w:val="auto"/>
                      <w:sz w:val="18"/>
                      <w:szCs w:val="18"/>
                    </w:rPr>
                    <w:t>Commitment</w:t>
                  </w:r>
                  <w:proofErr w:type="spellEnd"/>
                  <w:r w:rsidRPr="008C4E42">
                    <w:rPr>
                      <w:color w:val="auto"/>
                      <w:sz w:val="18"/>
                      <w:szCs w:val="18"/>
                    </w:rPr>
                    <w:t>), zgodnie ze standardem DICOM 3.0 Funkcjonalność pobierania i wysyłania badań do archiwum PACS ma być realizowana także w czasie wykonywania zabiegu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8C4E42">
                    <w:rPr>
                      <w:color w:val="auto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8C4E42">
                    <w:rPr>
                      <w:color w:val="auto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  <w:t>VIII</w:t>
                  </w:r>
                </w:p>
              </w:tc>
              <w:tc>
                <w:tcPr>
                  <w:tcW w:w="3995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  <w:t xml:space="preserve">Stacja </w:t>
                  </w:r>
                  <w:proofErr w:type="spellStart"/>
                  <w:r w:rsidRPr="008C4E42"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  <w:t>postprocessingowa</w:t>
                  </w:r>
                  <w:proofErr w:type="spellEnd"/>
                  <w:r w:rsidRPr="008C4E42"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  <w:t xml:space="preserve">  oddzielna lub zintegrowana realizująca wymogi funkcjonalne I techniczne zaoferowanego oprogramowania</w:t>
                  </w:r>
                </w:p>
              </w:tc>
              <w:tc>
                <w:tcPr>
                  <w:tcW w:w="1612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2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4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2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Wyprowadzenie sygnału obrazowego na monitory w Sali zabiegowej opisanych powyżej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Minimum 1 monitor stacji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postprocesingowej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min 24” (TFT/LCD kolorowy) w sterowni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  <w:shd w:val="clear" w:color="auto" w:fill="FFFFFF" w:themeFill="background1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HDD≥ 1,5 TB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Możliwość wyświetlania/przeglądania/archiwizacji obrazów pochodzących z innych urządzeń diagnostyki obrazowej(zgodnych ze standardem DICOM)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ZOOM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8C4E42">
                    <w:rPr>
                      <w:sz w:val="18"/>
                      <w:szCs w:val="18"/>
                      <w:lang w:val="en-US"/>
                    </w:rPr>
                    <w:t>DICOM 3.0: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left" w:pos="6480"/>
                    </w:tabs>
                    <w:spacing w:line="240" w:lineRule="auto"/>
                    <w:ind w:left="360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 w:rsidRPr="008C4E42">
                    <w:rPr>
                      <w:sz w:val="18"/>
                      <w:szCs w:val="18"/>
                      <w:lang w:val="en-US"/>
                    </w:rPr>
                    <w:t>Dicom</w:t>
                  </w:r>
                  <w:proofErr w:type="spellEnd"/>
                  <w:r w:rsidRPr="008C4E42">
                    <w:rPr>
                      <w:sz w:val="18"/>
                      <w:szCs w:val="18"/>
                      <w:lang w:val="en-US"/>
                    </w:rPr>
                    <w:t xml:space="preserve"> Send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left" w:pos="6480"/>
                    </w:tabs>
                    <w:spacing w:line="240" w:lineRule="auto"/>
                    <w:ind w:left="360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 w:rsidRPr="008C4E42">
                    <w:rPr>
                      <w:sz w:val="18"/>
                      <w:szCs w:val="18"/>
                      <w:lang w:val="en-US"/>
                    </w:rPr>
                    <w:t>Dicom</w:t>
                  </w:r>
                  <w:proofErr w:type="spellEnd"/>
                  <w:r w:rsidRPr="008C4E42">
                    <w:rPr>
                      <w:sz w:val="18"/>
                      <w:szCs w:val="18"/>
                      <w:lang w:val="en-US"/>
                    </w:rPr>
                    <w:t xml:space="preserve"> Query/Retrieve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left" w:pos="6480"/>
                    </w:tabs>
                    <w:spacing w:line="240" w:lineRule="auto"/>
                    <w:ind w:left="360"/>
                    <w:rPr>
                      <w:sz w:val="18"/>
                      <w:szCs w:val="18"/>
                    </w:rPr>
                  </w:pPr>
                  <w:proofErr w:type="spellStart"/>
                  <w:r w:rsidRPr="008C4E42">
                    <w:rPr>
                      <w:sz w:val="18"/>
                      <w:szCs w:val="18"/>
                    </w:rPr>
                    <w:t>Dicom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Receive</w:t>
                  </w:r>
                  <w:proofErr w:type="spellEnd"/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left" w:pos="6480"/>
                    </w:tabs>
                    <w:spacing w:line="240" w:lineRule="auto"/>
                    <w:ind w:left="360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wraz z podłączeniem do systemu PACS i RIS firmy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Pixel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Technology. Zamawiający posiada licencję na podłączenie urządzenia natomiast koszt podłączenia spoczywa na Wykonawcy.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Zapis obrazów na napędzie CD/DVD/R/RW w standardzie DICOM 3.0 z dogrywaniem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viewera</w:t>
                  </w:r>
                  <w:proofErr w:type="spellEnd"/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Export danych w formacie Windows (obrazy statyczne i dynamiczne)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Drukarka laserowa, sieciowa, z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duplexem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, kolorowa wraz z 1x kompletem materiałów eksploatacyjnych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t>IX</w:t>
                  </w:r>
                </w:p>
              </w:tc>
              <w:tc>
                <w:tcPr>
                  <w:tcW w:w="3995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firstLine="10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  <w:t>Stacja badań hemodynamicznych</w:t>
                  </w:r>
                </w:p>
              </w:tc>
              <w:tc>
                <w:tcPr>
                  <w:tcW w:w="1612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5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94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39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Transfer danych demograficznych pacjentów rejestrowanych w stacji badań hemodynamicznych do systemu cyfrowego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kardioangiografu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lub z systemu cyfrowego do stacji badań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Baza danych umożliwiająca przechowywanie wyników badań: danych demograficznych pacjentów wraz z zarejestrowanymi przynależnymi przebiegami EKG, ciśnień i innymi mierzonymi parametrami oraz z wyliczonymi wskaźnikami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dla min. 100 pacjentów z rejestracją krzywych i protokołów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Wyświetlanie obrazu ze stacji na monitorach w sterowni i w sali badań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Prezentacja krzywych, parametrów, danych demograficznych pacjentów i wyliczonych wskaźników na monitorach w sali badań i w sterowni opisanych powyżej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Pomiar i jednoczesna prezentacja min. 12 kanałów EKG (3 kompletne kable)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łącznie z kablami EKG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Pomiar i prezentacja częstości akcji serca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Pomiar i prezentacja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cardiac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output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(CO)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position w:val="-1"/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Pomiar i prezentacja Sp0</w:t>
                  </w:r>
                  <w:r w:rsidRPr="008C4E42">
                    <w:rPr>
                      <w:position w:val="-1"/>
                      <w:sz w:val="18"/>
                      <w:szCs w:val="18"/>
                    </w:rPr>
                    <w:t xml:space="preserve">2, </w:t>
                  </w:r>
                  <w:r w:rsidRPr="008C4E42">
                    <w:rPr>
                      <w:sz w:val="18"/>
                      <w:szCs w:val="18"/>
                    </w:rPr>
                    <w:t xml:space="preserve"> łącznie z czujnikiem wielokrotnego użytku typu klips  3szt. Dopuszcza się  czujnik wielokrotnego użytku wsuwany na palec pacjenta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Tak,.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Pomiar i prezentacja ciśnienia nieinwazyjnego (3 rozmiary mankietów)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łącznie z mankietem pomiarowym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Pomiar i jednoczesna prezentacja min. 2 różnych ciśnień inwazyjnych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FFFFFF" w:themeFill="background1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Oprogramowanie do obliczania parametrów hemodynamicznych (lewe i prawe serce dla dorosłych i dzieci) m. in. gradienty ciśnień, powierzchnie otwarcia zastawek, przecieki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międzyjamowe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Qp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/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Qs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, opory naczyniowe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Archiwizacja mierzonych przebiegów na CD lub DVD lub USB lub SD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Wszystkie moduły pomiarowe i obliczeniowe winny stanowić integralną całość oferowanego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cathlab’u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(stacji badań hemodynamicznych) – jeden aparat jednego producenta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Wyjście cyfrowe (HDMI lub DVI) umożliwiające podłączenie do systemu audiowizualnego (zapewnienie separacji galwanicznej po stronie Wykonawcy)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B6DDE8" w:themeFill="accent5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shd w:val="clear" w:color="auto" w:fill="B6DDE8" w:themeFill="accent5" w:themeFillTint="66"/>
                </w:tcPr>
                <w:p w:rsidR="008C4E42" w:rsidRPr="008C4E42" w:rsidRDefault="008C4E42" w:rsidP="008C4E42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  <w:t xml:space="preserve">Wyposażenie </w:t>
                  </w:r>
                  <w:proofErr w:type="spellStart"/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  <w:t>angiografu</w:t>
                  </w:r>
                  <w:proofErr w:type="spellEnd"/>
                </w:p>
              </w:tc>
              <w:tc>
                <w:tcPr>
                  <w:tcW w:w="1612" w:type="dxa"/>
                  <w:shd w:val="clear" w:color="auto" w:fill="B6DDE8" w:themeFill="accent5" w:themeFillTint="66"/>
                  <w:vAlign w:val="center"/>
                </w:tcPr>
                <w:p w:rsidR="008C4E42" w:rsidRPr="008C4E42" w:rsidRDefault="008C4E42" w:rsidP="008C4E42">
                  <w:pPr>
                    <w:ind w:right="28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94" w:type="dxa"/>
                  <w:shd w:val="clear" w:color="auto" w:fill="B6DDE8" w:themeFill="accent5" w:themeFillTint="66"/>
                  <w:vAlign w:val="center"/>
                </w:tcPr>
                <w:p w:rsidR="008C4E42" w:rsidRPr="008C4E42" w:rsidRDefault="008C4E42" w:rsidP="008C4E42">
                  <w:pPr>
                    <w:ind w:right="28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B6DDE8" w:themeFill="accent5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lastRenderedPageBreak/>
                    <w:t>X</w:t>
                  </w: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b/>
                      <w:sz w:val="18"/>
                      <w:szCs w:val="18"/>
                    </w:rPr>
                  </w:pPr>
                  <w:proofErr w:type="spellStart"/>
                  <w:r w:rsidRPr="008C4E42">
                    <w:rPr>
                      <w:b/>
                      <w:sz w:val="18"/>
                      <w:szCs w:val="18"/>
                    </w:rPr>
                    <w:t>Wstrzykiwacz</w:t>
                  </w:r>
                  <w:proofErr w:type="spellEnd"/>
                  <w:r w:rsidRPr="008C4E42">
                    <w:rPr>
                      <w:b/>
                      <w:sz w:val="18"/>
                      <w:szCs w:val="18"/>
                    </w:rPr>
                    <w:t xml:space="preserve"> kontrastu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Podać dane oferowanego urządzenia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(producent i model)</w:t>
                  </w:r>
                </w:p>
              </w:tc>
              <w:tc>
                <w:tcPr>
                  <w:tcW w:w="1980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Strzykawka automatyczna, jednogłowicowa przeznaczona do podawania środków kontrastowych do układu naczyniowego przy wykonywaniu badań angiograficznych. Iniekcja możliwa z poziomu sterowni jak i sali badań. Urządzenie na podstawie jezdnej.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Parametry regulowane: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a) natężenie przepływu;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b) objętość lub czas trwania;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c) ciśnienie;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d) przyrost natężenia;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e) opóźnienie wykonywania iniekcji/zdjęcia RTG;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Maksymalne natężenie przepływu: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mniejsze niż 35 ml/s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Możliwość programowania natężenia przepływu z krokiem 0,1 ml/s w zakresie 0,1÷ 9,9 ml/s.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Możliwość programowania czasu trwania wstrzykiwania kontrastu z krokiem 1 s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Możliwość zmiany ciśnienia z krokiem 1kPa w zakresie 520 ÷ 8000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kPa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Funkcja szybkiego napełnienia poprzez przyspieszenie od zera do maksimum w czasie krótszym niż 0,5s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Głowica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wstrzykiwacza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dostosowana do wkładów wymiennych o pojemnościach  50ml, 100ml i 125 ml wypełnionych fabrycznie środkiem cieniującym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rFonts w:eastAsia="Arial"/>
                      <w:color w:val="000000"/>
                      <w:sz w:val="18"/>
                      <w:szCs w:val="18"/>
                    </w:rPr>
                    <w:t xml:space="preserve">Cieplarka do podgrzewania kontrastów radiologicznych – dopuszcza się urządzenie zewnętrzne na dedykowanym stoliku lub zintegrowane podgrzewanie w </w:t>
                  </w:r>
                  <w:proofErr w:type="spellStart"/>
                  <w:r w:rsidRPr="008C4E42">
                    <w:rPr>
                      <w:rFonts w:eastAsia="Arial"/>
                      <w:color w:val="000000"/>
                      <w:sz w:val="18"/>
                      <w:szCs w:val="18"/>
                    </w:rPr>
                    <w:t>wstrzykiwaczu</w:t>
                  </w:r>
                  <w:proofErr w:type="spellEnd"/>
                  <w:r w:rsidRPr="008C4E42">
                    <w:rPr>
                      <w:rFonts w:eastAsia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t>XI</w:t>
                  </w: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rFonts w:eastAsia="Arial"/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Pozostałe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Integracja z systemem RIS/PACS szpitala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Osłony przed promieniowaniem na dolne partie ciała (dla personelu) w postaci fartucha z gumy ołowiowej mocowanego z boku stołu pacjenta i przed stopą stołu pacjenta po obu stronach stołu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Osłona sufitowa przed promieniowaniem na górne części ciała w postaci szyby ołowiowej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Lampa zabiegowa bezcieniowa w technologii LED do oświetlania pola cewnikowania, min. </w:t>
                  </w:r>
                  <w:r w:rsidRPr="008C4E42">
                    <w:rPr>
                      <w:sz w:val="18"/>
                      <w:szCs w:val="18"/>
                    </w:rPr>
                    <w:br/>
                    <w:t xml:space="preserve">60 000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lux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Interkom do komunikacji głosowej sterownia – sala zabiegowa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rFonts w:eastAsia="Arial"/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bCs/>
                      <w:sz w:val="18"/>
                      <w:szCs w:val="18"/>
                    </w:rPr>
                    <w:t>Blat roboczy sterowni</w:t>
                  </w:r>
                  <w:r w:rsidRPr="008C4E42">
                    <w:rPr>
                      <w:sz w:val="18"/>
                      <w:szCs w:val="18"/>
                    </w:rPr>
                    <w:t xml:space="preserve"> – w kształcie litery L, dopasowany do wymiarów projektowanej sterowni, o szerokości min. 70 cm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rFonts w:eastAsia="Arial"/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bCs/>
                      <w:sz w:val="18"/>
                      <w:szCs w:val="18"/>
                    </w:rPr>
                    <w:t>Fotel operatora</w:t>
                  </w:r>
                  <w:r w:rsidRPr="008C4E42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8C4E42">
                    <w:rPr>
                      <w:sz w:val="18"/>
                      <w:szCs w:val="18"/>
                    </w:rPr>
                    <w:t xml:space="preserve">– stabilna podstawa z pięcioma kółkami kauczukowymi, pneumatyczna regulacja wysokości siedziska, regulacja kąta pochylenia oparcia, siedzisko tapicerowane łatwo zmywalne odporne na detergenty, kolor siedziska do uzgodnienia z Zamawiającym, podłokietniki, maksymalne obciążenie powyżej 120 kg, produkt dopuszczony do obrotu jako wyrób medyczny, 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2 sztuki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B6DDE8" w:themeFill="accent5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ind w:left="398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shd w:val="clear" w:color="auto" w:fill="B6DDE8" w:themeFill="accent5" w:themeFillTint="66"/>
                </w:tcPr>
                <w:p w:rsidR="008C4E42" w:rsidRPr="008C4E42" w:rsidRDefault="008C4E42" w:rsidP="008C4E42">
                  <w:pPr>
                    <w:tabs>
                      <w:tab w:val="left" w:pos="1635"/>
                    </w:tabs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  <w:t>Wyposażenie Sali Zabiegowej</w:t>
                  </w:r>
                </w:p>
              </w:tc>
              <w:tc>
                <w:tcPr>
                  <w:tcW w:w="1612" w:type="dxa"/>
                  <w:shd w:val="clear" w:color="auto" w:fill="B6DDE8" w:themeFill="accent5" w:themeFillTint="66"/>
                  <w:vAlign w:val="center"/>
                </w:tcPr>
                <w:p w:rsidR="008C4E42" w:rsidRPr="008C4E42" w:rsidRDefault="008C4E42" w:rsidP="008C4E42">
                  <w:pPr>
                    <w:ind w:right="28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94" w:type="dxa"/>
                  <w:shd w:val="clear" w:color="auto" w:fill="B6DDE8" w:themeFill="accent5" w:themeFillTint="66"/>
                  <w:vAlign w:val="center"/>
                </w:tcPr>
                <w:p w:rsidR="008C4E42" w:rsidRPr="008C4E42" w:rsidRDefault="008C4E42" w:rsidP="008C4E42">
                  <w:pPr>
                    <w:ind w:right="28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B6DDE8" w:themeFill="accent5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lastRenderedPageBreak/>
                    <w:t>XII</w:t>
                  </w: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Kolumna chirurgiczna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Podać dane oferowanego urządzenia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(producent i model)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Kolumna chirurgiczna przeznaczona do instalacji na sali operacyjnej, umożliwiająca postawienie na półce aparatury chirurgicznej.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Sufitowa kolumna zasilająca składająca się z pionowej głowicy zasilającej zawieszonej na obrotowym wysięgniku dwuramiennym.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Kolumna mocowana do stropu za pomocą zawieszenia modułowego, wyposażonego w płytę interfejsową zainstalowaną na wysokości sufitu podwieszanego, na której wykonane będą połączenia instalacji wewnętrznych kolumny ze szpitalnymi instalacjami gazowymi, elektrycznymi i niskoprądowymi.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dopuszcza się sytuacji, w której miejsce łączenia sieci szpitalnej (elektrycznej) i instalacji gazów medycznej ma miejsce na łożysku kolumny. Ramiona oraz głowica kolumny tego samego producenta.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Obrotowy wysięgnik dwuramienny. Rotacja ramion i głowicy w poziomie ≥330 stopni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Hamulce mechaniczne blokujące dalszy obrót kolumny z możliwością instalacji w odstępie max 15˚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Zasięg kolumny mierzony od osi obrotu wysięgnika (punkt mocowania do stropu) do osi obrotu głowicy zasilającej: min. 1850 mm. Ramiona wykonane z aluminium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Wysięgnik kolumny wyposażony w pneumatyczną blokadę obrotu ramion (blokowane 2 przeguby). Hamulce pneumatyczne zasilane powietrzem z instalacji gazów medycznych, z rurociągu, którego są zasilanie gniazda gazowe sprężonego powietrza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Hamulce cierne zapewniające stabilne utrzymanie kolumny w pozycji w przypadku awarii układów pneumatycznych.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Pionowa głowica zasilająca o wysokości min. 1200 mm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Udźwig kolumny (dopuszczalna waga wyposażenia i aparatury, które można zawiesić na głowicy zasilającej kolumny): min 220 kg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color w:val="00B050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Głowica wąska – zajmująca mało miejsca. Wymiary głowicy zasilającej poniżej 410mm x 270 mm (szerokość x głębokość)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Ścianki głowicy zasilającej łatwe do utrzymania w czystości: jednoczęściowe, bez widocznych śrub lub nitów mocujących, wykonane z materiałów odpornych na działanie środków dezynfekcyjnych.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Na każdej z krawędzi głowicy (min. 4)  zasilającej zainstalowane pionowe prowadnice montażowe do mocowania wyposażenia kolumny (wysięgników, półek, uchwytów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itp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). Pionowe opływowe (bez ostrych krawędzi)  prowadnice wystające poza obrys głowicy na jej całej długości – rozwiązanie umożliwiające łatwe mycie i dezynfekcję.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Możliwość mocowania wyposażenia kolumny na każdej z 4 stron głowicy.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color w:val="000000"/>
                      <w:sz w:val="18"/>
                      <w:szCs w:val="18"/>
                    </w:rPr>
                    <w:t>Na ściankach głowicy zasilającej zainstalowane następujące gniazda: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right" w:pos="3132"/>
                    </w:tabs>
                    <w:spacing w:line="240" w:lineRule="auto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color w:val="000000"/>
                      <w:sz w:val="18"/>
                      <w:szCs w:val="18"/>
                    </w:rPr>
                    <w:t>a) gniazdka elektryczne 230 V – 14  szt.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right" w:pos="3132"/>
                    </w:tabs>
                    <w:spacing w:line="240" w:lineRule="auto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color w:val="000000"/>
                      <w:sz w:val="18"/>
                      <w:szCs w:val="18"/>
                    </w:rPr>
                    <w:t>b) bolce ekwipotencjalne – 14 szt.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right" w:pos="3132"/>
                    </w:tabs>
                    <w:spacing w:line="240" w:lineRule="auto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color w:val="000000"/>
                      <w:sz w:val="18"/>
                      <w:szCs w:val="18"/>
                    </w:rPr>
                    <w:t>c) gniazdko sieci komputerowej – 4 szt.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right" w:pos="3132"/>
                    </w:tabs>
                    <w:spacing w:line="240" w:lineRule="auto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color w:val="000000"/>
                      <w:sz w:val="18"/>
                      <w:szCs w:val="18"/>
                    </w:rPr>
                    <w:t>d) punkty gazowe: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6"/>
                    </w:numPr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color w:val="000000"/>
                      <w:sz w:val="18"/>
                      <w:szCs w:val="18"/>
                    </w:rPr>
                    <w:t>sprężone powietrze – 2 szt.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6"/>
                    </w:numPr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color w:val="000000"/>
                      <w:sz w:val="18"/>
                      <w:szCs w:val="18"/>
                    </w:rPr>
                    <w:t>próżnia – 2 szt.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6"/>
                    </w:numPr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color w:val="000000"/>
                      <w:sz w:val="18"/>
                      <w:szCs w:val="18"/>
                    </w:rPr>
                    <w:t>tlen – 2 szt.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right" w:pos="3132"/>
                    </w:tabs>
                    <w:spacing w:line="240" w:lineRule="auto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color w:val="000000"/>
                      <w:sz w:val="18"/>
                      <w:szCs w:val="18"/>
                    </w:rPr>
                    <w:t>Punkty poboru gazów medycznych tego samego producenta co kolumna.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color w:val="000000"/>
                      <w:sz w:val="18"/>
                      <w:szCs w:val="18"/>
                    </w:rPr>
                    <w:t>Wszystkie punkty poboru gazów medycznych oznaczone znakiem CE, trwale opisane i oznaczone kolorami kodującymi typ gazu zgodnie z normą PN</w:t>
                  </w:r>
                  <w:r w:rsidRPr="008C4E42">
                    <w:rPr>
                      <w:color w:val="000000"/>
                      <w:sz w:val="18"/>
                      <w:szCs w:val="18"/>
                    </w:rPr>
                    <w:noBreakHyphen/>
                    <w:t>ISO 32.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color w:val="000000"/>
                      <w:sz w:val="18"/>
                      <w:szCs w:val="18"/>
                    </w:rPr>
                    <w:t>Punkty poboru gazów medycznych posiadające zawór zwrotny, którego wymiana nie wymaga demontażu frontowej pokrywy. Punkty poboru muszą umożliwiać wymianę zaworu końcowego z systemu AGA na system DIN bez konieczności demontażu gniazda.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Ze względów higienicznych nie dopuszcza się gniazdek elektrycznych zlicowanych z powierzchnią głowicy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Punkty gazowe zainstalowane na przedniej ściance głowicy, gniazdka elektryczne, bolce ekwipotencjalne i gniazda komputerowe zainstalowane głównie na przedniej i tylnej ściance głowicy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Przygotowanie pod instalację w przyszłości dodatkowych gniazd niskoprądowych: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w ściance głowicy zasilającej wycięty otwór </w:t>
                  </w:r>
                  <w:r w:rsidRPr="008C4E42">
                    <w:rPr>
                      <w:sz w:val="18"/>
                      <w:szCs w:val="18"/>
                    </w:rPr>
                    <w:br/>
                    <w:t xml:space="preserve">zasłonięty łatwą do zdemontowania pokrywką </w:t>
                  </w:r>
                  <w:r w:rsidRPr="008C4E42">
                    <w:rPr>
                      <w:sz w:val="18"/>
                      <w:szCs w:val="18"/>
                    </w:rPr>
                    <w:br/>
                    <w:t xml:space="preserve">oraz zainstalowana puszka instalacyjna umożliwiająca zamocowanie gniazda niskoprądowego </w:t>
                  </w:r>
                  <w:r w:rsidRPr="008C4E42">
                    <w:rPr>
                      <w:sz w:val="18"/>
                      <w:szCs w:val="18"/>
                    </w:rPr>
                    <w:br/>
                    <w:t>(np. audio, wideo, system przywoławczy, itp.).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Wewnątrz głowicy zasilającej i wysięgnika kolumny, od puszki do przestrzeni technicznej między stropem a sufitem podwieszanym poprowadzony pilot</w:t>
                  </w:r>
                  <w:r w:rsidRPr="008C4E42">
                    <w:rPr>
                      <w:sz w:val="18"/>
                      <w:szCs w:val="18"/>
                    </w:rPr>
                    <w:br/>
                    <w:t>(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t.j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. żyłka ułatwiająca wciągnięcie właściwego kabla w przyszłości).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Możliwość obrotu głowicy zasilającej wokół własnej osi w zakresie 330</w:t>
                  </w:r>
                  <w:r w:rsidRPr="008C4E42">
                    <w:rPr>
                      <w:sz w:val="18"/>
                      <w:szCs w:val="18"/>
                      <w:vertAlign w:val="superscript"/>
                    </w:rPr>
                    <w:t>o</w:t>
                  </w:r>
                  <w:r w:rsidRPr="008C4E42">
                    <w:rPr>
                      <w:sz w:val="18"/>
                      <w:szCs w:val="18"/>
                    </w:rPr>
                    <w:t xml:space="preserve"> (±15</w:t>
                  </w:r>
                  <w:r w:rsidRPr="008C4E42">
                    <w:rPr>
                      <w:sz w:val="18"/>
                      <w:szCs w:val="18"/>
                      <w:vertAlign w:val="superscript"/>
                    </w:rPr>
                    <w:t>o</w:t>
                  </w:r>
                  <w:r w:rsidRPr="008C4E42">
                    <w:rPr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Dotykowe (poprzez chwyt dłoni) zwalnianie blokady pneumatycznej obrotu ramion i głowicy za pomocą dwuręcznego - dwuczęściowego uchwytu zorientowanego pionowo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Możliwość przekładania obu bezprzewodowych rękojeści uchwytu pomiędzy wszystkimi ściankami głowicy na dowolnej wysokości. Możliwość zwolnienia blokady pneumatycznej poprzez chwyt jednej rękojeści.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Dodatkowe przyciski do zwalniania hamulców na panelu na jednej ze ścian głowicy. Panel odporny na środki do dezynfekcji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Wyposażenie kolumny: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7"/>
                    </w:numPr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półka - 6 szt.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7"/>
                    </w:numPr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szuflady – 2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szt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 xml:space="preserve"> pod najniższymi półkami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7"/>
                    </w:numPr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schowek na nadmiar kabli – 2 szt.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7"/>
                    </w:numPr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wysięgnik z drążkiem infuzyjnym – 1 szt.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7"/>
                    </w:numPr>
                    <w:spacing w:line="240" w:lineRule="auto"/>
                    <w:rPr>
                      <w:color w:val="000000"/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Drążek infuzyjny o długości około 100 cm (+/- 10cm) z    wysuwanym wieszakiem do kroplówek (4 metalowe zaczepy).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Półki o wymiarach powierzchni roboczej: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- szerokość: min 43 cm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- głębokość: min 48 cm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Wszystkie półki wyposażone w boczne szyny montażowe. Końcówki szyn wyposażone w ochraniacze.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Udźwig półki min 70 kg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Wymiary wszystkich szyn montażowych na kolumnie szerokości od 25 do 35 mm oraz o grubość 10 mm.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Pod półką, obok szuflady zainstalowany schowek na kable. Wnętrze schowka łatwo dostępne poprzez przesuwaną ściankę. Otwór na kable uszczelniony gumowymi uszczelkami eliminującymi ryzyko uszkodzenia przewodów.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Możliwość regulacji wysokości zawieszenia wszystkich półek na kolumnie przez użytkownika.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Wewnętrzna wysokość szuflad powyżej 10 cm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Możliwość łatwego (bez użycia narzędzi) </w:t>
                  </w:r>
                  <w:r w:rsidRPr="008C4E42">
                    <w:rPr>
                      <w:sz w:val="18"/>
                      <w:szCs w:val="18"/>
                    </w:rPr>
                    <w:br/>
                    <w:t>wyjmowania szuflady do mycia i dezynfekcji.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Front i boczne ścianki szuflady łatwe do utrzymania czystości: gładkie, bez widocznych śrub lub nitów mocujących, bez wystających uchwytów.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Urządzenie posiada dokumentację  (Certyfikat CE / Deklarację Zgodności) potwierdzające zgodność wyrobu z dyrektywą 93/42/EEC.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t>XIII</w:t>
                  </w: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Kolumna anestezjologiczna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Podać dane oferowanego urządzenia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8C4E42">
                    <w:rPr>
                      <w:b/>
                      <w:sz w:val="18"/>
                      <w:szCs w:val="18"/>
                    </w:rPr>
                    <w:t>(producent i model)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Kolumna przeznaczona do instalacji na sali operacyjnej, umożliwiająca postawienie na półce aparatury anestezjologicznej.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Sufitowa kolumna zasilająca składająca się z pionowej głowicy zasilającej zawieszonej na obrotowym wysięgniku dwuramiennym.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Kolumna mocowana do stropu za pomocą zawieszenia modułowego, wyposażonego w płytę interfejsową zainstalowaną na wysokości sufitu podwieszanego, na której wykonane będą połączenia instalacji wewnętrznych kolumny ze szpitalnymi instalacjami gazowymi, elektrycznymi i niskoprądowymi.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Nie dopuszcza się sytuacji, w której miejsce łączenia sieci szpitalnej (elektrycznej) i instalacji gazów medycznej ma miejsce na łożysku kolumny. Ramiona oraz głowica kolumny tego samego producenta.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Obrotowy wysięgnik dwuramienny. Rotacja ramion i głowicy w poziomie ≥330 stopni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Hamulce mechaniczne blokujące dalszy obrót kolumny z możliwością instalacji w odstępie max 15˚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Zasięg kolumny mierzony od osi obrotu wysięgnika (punkt mocowania do stropu) do osi obrotu głowicy zasilającej: min. 1500 mm. Ramiona wykonane z aluminium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Wysięgnik kolumny wyposażony w pneumatyczną blokadę obrotu ramion (blokowane 2 przeguby). Hamulce pneumatyczne zasilane powietrzem z instalacji gazów medycznych, z rurociągu, którego są zasilanie gniazda gazowe sprężonego powietrza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Hamulce cierne zapewniające stabilne utrzymanie kolumny w pozycji w przypadku awarii układów pneumatycznych.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Pionowa głowica zasilająca o wysokości min. 1200 mm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Udźwig kolumny (dopuszczalna waga wyposażenia i aparatury, które można zawiesić na głowicy zasilającej kolumny): 150 kg -180 kg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Głowica wąska – zajmująca mało miejsca. Wymiary głowicy zasilającej poniżej 310mm x 270 mm (szerokość x głębokość)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Na każdej z krawędzi głowicy (min. 4)  zasilającej zainstalowane pionowe prowadnice montażowe do mocowania wyposażenia kolumny (wysięgników, półek, uchwytów 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itp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). Pionowe opływowe (bez ostrych krawędzi)  prowadnice wystające poza obrys głowicy na jej całej długości – rozwiązanie umożliwiające łatwe mycie i dezynfekcję.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Na ściankach głowicy zasilającej zainstalowane następujące gniazda: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a) punkty poboru gazów medycznych i próżni: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8"/>
                    </w:numPr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sprężone powietrze – 2 szt.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8"/>
                    </w:numPr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próżnia – 2 szt.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8"/>
                    </w:numPr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tlen – 2 szt.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8"/>
                    </w:numPr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Odciąg gazów anestetycznych AGSS – 1 szt.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c) gniazdka elektryczne 230 V – 12 szt.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d) bolce ekwipotencjalne – 12 szt.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e) gniazdko sieci komputerowej – 2 szt.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f) miejsca przygotowane pod instalację w przyszłości dodatkowych gniazd niskoprądowych – 2 szt.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</w:p>
                <w:p w:rsidR="008C4E42" w:rsidRPr="008C4E42" w:rsidRDefault="008C4E42" w:rsidP="008C4E42">
                  <w:pPr>
                    <w:pStyle w:val="Standard"/>
                    <w:widowControl w:val="0"/>
                    <w:tabs>
                      <w:tab w:val="right" w:pos="31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Punkty poboru gazów medycznych tego samego producenta co kolumna.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Punkty poboru gazów medycznych zgodne ze standardem szwedzkim SS8752430 (tzw. typ AGA).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Wszystkie punkty poboru gazów medycznych oznaczone znakiem CE, trwale opisane i oznaczone kolorami kodującymi typ gazu zgodnie z normą PN</w:t>
                  </w:r>
                  <w:r w:rsidRPr="008C4E42">
                    <w:rPr>
                      <w:sz w:val="18"/>
                      <w:szCs w:val="18"/>
                    </w:rPr>
                    <w:noBreakHyphen/>
                    <w:t>ISO 32.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Punkty poboru gazów medycznych posiadające zawór zwrotny, którego wymiana nie wymaga demontażu frontowej pokrywy. Punkty poboru muszą umożliwiać wymianę zaworu końcowego z systemu AGA na system DIN bez konieczności demontażu gniazda.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Gniazda gazowe zainstalowane na bocznych ściankach, gniazdka elektryczne, bolce ekwipotencjalne zainstalowane głównie na tylnej i bocznych ściankach, na przedniej ściance zamontowane 3 półki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Przygotowanie pod instalację w przyszłości dodatkowych gniazd niskoprądowych: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w ściance głowicy zasilającej wycięty otwór zasłonięty łatwą do zdemontowania pokrywką </w:t>
                  </w:r>
                  <w:r w:rsidRPr="008C4E42">
                    <w:rPr>
                      <w:sz w:val="18"/>
                      <w:szCs w:val="18"/>
                    </w:rPr>
                    <w:br/>
                    <w:t xml:space="preserve">oraz zainstalowana puszka instalacyjna umożliwiająca zamocowanie gniazda niskoprądowego </w:t>
                  </w:r>
                  <w:r w:rsidRPr="008C4E42">
                    <w:rPr>
                      <w:sz w:val="18"/>
                      <w:szCs w:val="18"/>
                    </w:rPr>
                    <w:br/>
                    <w:t>(np. audio, wideo, system przywoławczy, itp.).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Wewnątrz głowicy zasilającej i wysięgnika kolumny, od puszki do przestrzeni technicznej między stropem a sufitem podwieszanym poprowadzony pilot</w:t>
                  </w:r>
                  <w:r w:rsidRPr="008C4E42">
                    <w:rPr>
                      <w:sz w:val="18"/>
                      <w:szCs w:val="18"/>
                    </w:rPr>
                    <w:br/>
                    <w:t>(</w:t>
                  </w:r>
                  <w:proofErr w:type="spellStart"/>
                  <w:r w:rsidRPr="008C4E42">
                    <w:rPr>
                      <w:sz w:val="18"/>
                      <w:szCs w:val="18"/>
                    </w:rPr>
                    <w:t>t.j</w:t>
                  </w:r>
                  <w:proofErr w:type="spellEnd"/>
                  <w:r w:rsidRPr="008C4E42">
                    <w:rPr>
                      <w:sz w:val="18"/>
                      <w:szCs w:val="18"/>
                    </w:rPr>
                    <w:t>. żyłka ułatwiająca wciągnięcie właściwego kabla w przyszłości).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Możliwość obrotu głowicy zasilającej wokół własnej osi w zakresie 330</w:t>
                  </w:r>
                  <w:r w:rsidRPr="008C4E42">
                    <w:rPr>
                      <w:sz w:val="18"/>
                      <w:szCs w:val="18"/>
                      <w:vertAlign w:val="superscript"/>
                    </w:rPr>
                    <w:t>o</w:t>
                  </w:r>
                  <w:r w:rsidRPr="008C4E42">
                    <w:rPr>
                      <w:sz w:val="18"/>
                      <w:szCs w:val="18"/>
                    </w:rPr>
                    <w:t xml:space="preserve"> (±15</w:t>
                  </w:r>
                  <w:r w:rsidRPr="008C4E42">
                    <w:rPr>
                      <w:sz w:val="18"/>
                      <w:szCs w:val="18"/>
                      <w:vertAlign w:val="superscript"/>
                    </w:rPr>
                    <w:t>o</w:t>
                  </w:r>
                  <w:r w:rsidRPr="008C4E42">
                    <w:rPr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Dotykowe (poprzez chwyt dłoni) zwalnianie blokady pneumatycznej obrotu ramion i głowicy za pomocą dwuręcznego - dwuczęściowego uchwytu zorientowanego pionowo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Dodatkowe przyciski do zwalniania hamulców na panelu na jednej ze ścian głowicy. Panel odporny na środki do dezynfekcji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Udźwig kolumny (dopuszczalna waga aparatury i wyposażenia, które można zawiesić na głowicy zasilającej kolumny): minimum 150 kg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Wartość udźwigu kolumny przy oferowanej długości wysięgnika potwierdzona w załączonej do oferty instrukcji obsługi kolumny lub w oryginalnym prospekcie / katalogu powszechnie dostępnym na stronie internetowej producenta kolumny.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Wyposażenie kolumny: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9"/>
                    </w:numPr>
                    <w:tabs>
                      <w:tab w:val="right" w:pos="40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półka - 3 szt.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9"/>
                    </w:numPr>
                    <w:tabs>
                      <w:tab w:val="right" w:pos="40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Wysięgnik na drążek infuzyjny – 1 szt.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9"/>
                    </w:numPr>
                    <w:tabs>
                      <w:tab w:val="right" w:pos="40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Pozioma szyna montażowa o długości min 40 cm i udźwigu min. 20 kg z możliwością montażu na min 2 ściankach głowicy na dowolnej wysokości.</w:t>
                  </w:r>
                </w:p>
                <w:p w:rsidR="008C4E42" w:rsidRPr="008C4E42" w:rsidRDefault="008C4E42" w:rsidP="00900523">
                  <w:pPr>
                    <w:pStyle w:val="Standard"/>
                    <w:widowControl w:val="0"/>
                    <w:numPr>
                      <w:ilvl w:val="0"/>
                      <w:numId w:val="9"/>
                    </w:numPr>
                    <w:tabs>
                      <w:tab w:val="right" w:pos="4032"/>
                    </w:tabs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szuflada – pod dolną półką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Półki o wymiarach powierzchni roboczej: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- szerokość: min 43 cm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- głębokość: min 48 cm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Wszystkie półki wyposażone w boczne szyny montażowe. Końcówki szyn wyposażone w ochraniacze.</w:t>
                  </w:r>
                </w:p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Udźwig półki min 70 kg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Możliwość regulacji wysokości zawieszenia wszystkich półek na kolumnie przez użytkownika.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 xml:space="preserve">Możliwość łatwego (bez użycia narzędzi) </w:t>
                  </w:r>
                  <w:r w:rsidRPr="008C4E42">
                    <w:rPr>
                      <w:sz w:val="18"/>
                      <w:szCs w:val="18"/>
                    </w:rPr>
                    <w:br/>
                    <w:t>wyjmowania szuflady do mycia i dezynfekcji.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Drążek infuzyjny o długości około 100 cm (+/- 10cm) z    wysuwanym wieszakiem do kroplówek (4 metalowe zaczepy).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Wysięgnik do mocowania drążka infuzyjnego oraz monitora na kolumnie jednoramienny, obrotowy, o zasięgu min. 30 cm (wymiar liczony od osi mocowania ramienia do osi drążka infuzyjnego) i udźwigu minimum 25 kg.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Wysięgniki wyposażone w wewnętrzne kanały do prowadzenia kabli (np. zasilania pomp infuzyjnych).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Ramiona wysięgników z hamulcem ciernym. Możliwa regulacja siły hamowania hamulca ciernego w łatwy sposób przez użytkownika za pomocą ergonomicznego pokrętła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Zamawiający wymaga by oferowana jednostka medyczna była produktem powszechnie stosowanym, nie dopuszcza się rozwiązań prototypowych jeszcze nie sprawdzonych w warunkach pracy na oddziałach szpitalnych.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napToGrid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Urządzenie posiada dokumentację (Certyfikat CE / Deklarację Zgodności) potwierdzające zgodność wyrobu z dyrektywą 93/42/EEC.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t>XIV</w:t>
                  </w:r>
                </w:p>
              </w:tc>
              <w:tc>
                <w:tcPr>
                  <w:tcW w:w="3995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  <w:t>Gwarancja , szkolenia, wymagania dodatkowe</w:t>
                  </w:r>
                </w:p>
              </w:tc>
              <w:tc>
                <w:tcPr>
                  <w:tcW w:w="1612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28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94" w:type="dxa"/>
                  <w:shd w:val="clear" w:color="auto" w:fill="D6E3BC" w:themeFill="accent3" w:themeFillTint="66"/>
                  <w:vAlign w:val="center"/>
                </w:tcPr>
                <w:p w:rsidR="008C4E42" w:rsidRPr="008C4E42" w:rsidRDefault="008C4E42" w:rsidP="008C4E42">
                  <w:pPr>
                    <w:ind w:right="28"/>
                    <w:jc w:val="center"/>
                    <w:rPr>
                      <w:rFonts w:ascii="Times New Roman" w:eastAsia="Arial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D6E3BC" w:themeFill="accent3" w:themeFillTint="66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Zagwarantowanie dostępności części przez minimum 10 lat od dostawy, okres dostępności dla sprzętu IT i oprogramowania minimum 5 lat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oświadczenie załączyć do umowy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Gwarancja, w tym gwarancja na lampę RTG minimum 24 miesiące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Podlega ocenie wg kryterium wyboru ofert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color w:val="auto"/>
                      <w:sz w:val="18"/>
                      <w:szCs w:val="18"/>
                    </w:rPr>
                  </w:pPr>
                  <w:r w:rsidRPr="008C4E42">
                    <w:rPr>
                      <w:color w:val="auto"/>
                      <w:sz w:val="18"/>
                      <w:szCs w:val="18"/>
                    </w:rPr>
                    <w:t>Instruktaż stanowiskowy w miejscu instalacji dla personelu medycznego wskazanego przez Zamawiającego potwierdzony certyfikatami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8C4E42">
                    <w:rPr>
                      <w:color w:val="auto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8C4E42">
                    <w:rPr>
                      <w:color w:val="auto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color w:val="auto"/>
                      <w:sz w:val="18"/>
                      <w:szCs w:val="18"/>
                    </w:rPr>
                  </w:pPr>
                  <w:r w:rsidRPr="008C4E42">
                    <w:rPr>
                      <w:color w:val="auto"/>
                      <w:sz w:val="18"/>
                      <w:szCs w:val="18"/>
                    </w:rPr>
                    <w:t>Szkolenia aplikacyjne personelu medycznego w ilości minimum 5 dni roboczych</w:t>
                  </w:r>
                </w:p>
              </w:tc>
              <w:tc>
                <w:tcPr>
                  <w:tcW w:w="161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8C4E42">
                    <w:rPr>
                      <w:color w:val="auto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8C4E42">
                    <w:rPr>
                      <w:color w:val="auto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511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color w:val="auto"/>
                      <w:sz w:val="18"/>
                      <w:szCs w:val="18"/>
                    </w:rPr>
                  </w:pPr>
                  <w:r w:rsidRPr="008C4E42">
                    <w:rPr>
                      <w:color w:val="auto"/>
                      <w:sz w:val="18"/>
                      <w:szCs w:val="18"/>
                    </w:rPr>
                    <w:t xml:space="preserve">Czas reakcji na zgłoszenie awarii – do 12 godz. (w dni robocze), 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8C4E42">
                    <w:rPr>
                      <w:color w:val="auto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8C4E42">
                    <w:rPr>
                      <w:color w:val="auto"/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Przedłużenie okresu gwarancji następuje o pełny okres niesprawności dostarczonego przedmiotu zamówienia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Autoryzowany serwis gwarancyjny</w:t>
                  </w:r>
                </w:p>
              </w:tc>
              <w:tc>
                <w:tcPr>
                  <w:tcW w:w="16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Podać dane kontaktowe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Wykonanie projektu ochrony </w:t>
                  </w:r>
                  <w:proofErr w:type="spellStart"/>
                  <w:r w:rsidRPr="008C4E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radiologiczej</w:t>
                  </w:r>
                  <w:proofErr w:type="spellEnd"/>
                  <w:r w:rsidRPr="008C4E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i dostarczenie</w:t>
                  </w:r>
                  <w:r w:rsidRPr="008C4E42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Pr="008C4E4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go Zamawiającemu w terminie do 10 dni od daty zawarcia umowy.</w:t>
                  </w:r>
                </w:p>
              </w:tc>
              <w:tc>
                <w:tcPr>
                  <w:tcW w:w="1612" w:type="dxa"/>
                  <w:shd w:val="clear" w:color="auto" w:fill="FFFFFF"/>
                </w:tcPr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Wykonanie testów odbiorczych (akceptacyjnych) oraz specjalistycznych </w:t>
                  </w:r>
                  <w:proofErr w:type="spellStart"/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rtg</w:t>
                  </w:r>
                  <w:proofErr w:type="spellEnd"/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po instalacji oferowanego zestawu </w:t>
                  </w:r>
                </w:p>
              </w:tc>
              <w:tc>
                <w:tcPr>
                  <w:tcW w:w="1612" w:type="dxa"/>
                  <w:shd w:val="clear" w:color="auto" w:fill="FFFFFF"/>
                </w:tcPr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900523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ind w:left="398" w:hanging="39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Wykonanie testów specjalistycznych </w:t>
                  </w:r>
                  <w:proofErr w:type="spellStart"/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rtg</w:t>
                  </w:r>
                  <w:proofErr w:type="spellEnd"/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w trakcie trwania okresu gwarancji  min. 1 raz w każdym roku obowiązywania gwarancji</w:t>
                  </w:r>
                </w:p>
              </w:tc>
              <w:tc>
                <w:tcPr>
                  <w:tcW w:w="1612" w:type="dxa"/>
                  <w:shd w:val="clear" w:color="auto" w:fill="FFFFFF"/>
                </w:tcPr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TAK, podać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C4E42" w:rsidRPr="008C4E42" w:rsidRDefault="008C4E42" w:rsidP="008C4E42">
                  <w:pPr>
                    <w:pStyle w:val="Standard"/>
                    <w:widowControl w:val="0"/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8C4E42">
                    <w:rPr>
                      <w:sz w:val="18"/>
                      <w:szCs w:val="18"/>
                    </w:rPr>
                    <w:t>Bez oceny</w:t>
                  </w: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D9D9D9" w:themeFill="background1" w:themeFillShade="D9"/>
                  <w:vAlign w:val="center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 w:bidi="en-US"/>
                    </w:rPr>
                    <w:t>B.</w:t>
                  </w:r>
                </w:p>
              </w:tc>
              <w:tc>
                <w:tcPr>
                  <w:tcW w:w="3995" w:type="dxa"/>
                  <w:shd w:val="clear" w:color="auto" w:fill="D9D9D9" w:themeFill="background1" w:themeFillShade="D9"/>
                  <w:vAlign w:val="center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rPr>
                      <w:rFonts w:ascii="Times New Roman" w:hAnsi="Times New Roman" w:cs="Times New Roman"/>
                      <w:sz w:val="18"/>
                      <w:szCs w:val="18"/>
                      <w:lang w:val="en-US"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 w:bidi="en-US"/>
                    </w:rPr>
                    <w:t>INNE</w:t>
                  </w:r>
                </w:p>
              </w:tc>
              <w:tc>
                <w:tcPr>
                  <w:tcW w:w="1612" w:type="dxa"/>
                  <w:shd w:val="clear" w:color="auto" w:fill="D9D9D9" w:themeFill="background1" w:themeFillShade="D9"/>
                  <w:vAlign w:val="center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 w:bidi="en-US"/>
                    </w:rPr>
                  </w:pPr>
                </w:p>
              </w:tc>
              <w:tc>
                <w:tcPr>
                  <w:tcW w:w="1694" w:type="dxa"/>
                  <w:shd w:val="clear" w:color="auto" w:fill="D9D9D9" w:themeFill="background1" w:themeFillShade="D9"/>
                </w:tcPr>
                <w:p w:rsidR="008C4E42" w:rsidRPr="008C4E42" w:rsidRDefault="008C4E42" w:rsidP="008C4E42">
                  <w:pPr>
                    <w:suppressAutoHyphens/>
                    <w:jc w:val="center"/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1980" w:type="dxa"/>
                  <w:shd w:val="clear" w:color="auto" w:fill="D9D9D9" w:themeFill="background1" w:themeFillShade="D9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val="en-US" w:bidi="en-US"/>
                    </w:rPr>
                    <w:t>1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      </w:r>
                  <w:r w:rsidRPr="008C4E42">
                    <w:rPr>
                      <w:rFonts w:ascii="Times New Roman" w:eastAsia="Calibri" w:hAnsi="Times New Roman" w:cs="Times New Roman"/>
                      <w:sz w:val="18"/>
                      <w:szCs w:val="18"/>
                      <w:shd w:val="clear" w:color="auto" w:fill="FFFFFF"/>
                      <w:lang w:bidi="en-US"/>
                    </w:rPr>
                    <w:t xml:space="preserve"> wykazu czynności serwisowych, które mogą być wykonywane przez użytkownika samodzielnie nieskutkujące utratą gwarancji</w:t>
                  </w:r>
                </w:p>
              </w:tc>
              <w:tc>
                <w:tcPr>
                  <w:tcW w:w="1612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val="en-US" w:bidi="en-US"/>
                    </w:rPr>
                    <w:t xml:space="preserve">TAK z </w:t>
                  </w:r>
                  <w:proofErr w:type="spellStart"/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val="en-US" w:bidi="en-US"/>
                    </w:rPr>
                    <w:t>dostaw</w:t>
                  </w:r>
                  <w:r w:rsidR="00C75D20">
                    <w:rPr>
                      <w:rFonts w:ascii="Times New Roman" w:hAnsi="Times New Roman" w:cs="Times New Roman"/>
                      <w:sz w:val="18"/>
                      <w:szCs w:val="18"/>
                      <w:lang w:val="en-US" w:bidi="en-US"/>
                    </w:rPr>
                    <w:t>ą</w:t>
                  </w:r>
                  <w:proofErr w:type="spellEnd"/>
                </w:p>
              </w:tc>
              <w:tc>
                <w:tcPr>
                  <w:tcW w:w="1694" w:type="dxa"/>
                </w:tcPr>
                <w:p w:rsidR="008C4E42" w:rsidRPr="008C4E42" w:rsidRDefault="008C4E42" w:rsidP="008C4E42">
                  <w:pPr>
                    <w:suppressAutoHyphens/>
                    <w:jc w:val="center"/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tabs>
                      <w:tab w:val="right" w:pos="6838"/>
                    </w:tabs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val="en-US" w:bidi="en-US"/>
                    </w:rPr>
                    <w:t>2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  <w:t>Czy producent zaleca wykonywanie przeglądów technicznych?</w:t>
                  </w:r>
                </w:p>
                <w:p w:rsidR="008C4E42" w:rsidRPr="008C4E42" w:rsidRDefault="008C4E42" w:rsidP="008C4E42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  <w:t>Jeżeli TAK podać częstotliwość wykonania przeglądów technicznych zalecanych przez producenta</w:t>
                  </w:r>
                </w:p>
                <w:p w:rsidR="008C4E42" w:rsidRPr="008C4E42" w:rsidRDefault="008C4E42" w:rsidP="008C4E42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  <w:t>W przypadku odpowiedzi TAK:</w:t>
                  </w:r>
                </w:p>
                <w:p w:rsidR="008C4E42" w:rsidRPr="008C4E42" w:rsidRDefault="008C4E42" w:rsidP="008C4E42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  <w:t>Wszystkie przeglądy, naprawy w okresie gwarancji  (części, dojazd, czas pracy serwisu) wliczone w cenę oferty dokonywane w siedzibie zamawiającego.</w:t>
                  </w:r>
                </w:p>
              </w:tc>
              <w:tc>
                <w:tcPr>
                  <w:tcW w:w="1612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  <w:t>TAK/NIE</w:t>
                  </w: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  <w:lang w:val="en-US" w:bidi="en-US"/>
                    </w:rPr>
                    <w:footnoteReference w:id="2"/>
                  </w:r>
                </w:p>
                <w:p w:rsidR="008C4E42" w:rsidRPr="008C4E42" w:rsidRDefault="008C4E42" w:rsidP="008C4E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bidi="en-US"/>
                    </w:rPr>
                    <w:t>Podać jeśli zalecane</w:t>
                  </w:r>
                </w:p>
              </w:tc>
              <w:tc>
                <w:tcPr>
                  <w:tcW w:w="1694" w:type="dxa"/>
                </w:tcPr>
                <w:p w:rsidR="008C4E42" w:rsidRPr="008C4E42" w:rsidRDefault="008C4E42" w:rsidP="008C4E42">
                  <w:pPr>
                    <w:suppressAutoHyphens/>
                    <w:jc w:val="center"/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suppressAutoHyphens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lastRenderedPageBreak/>
                    <w:t>3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suppressAutoHyphens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t>Czy w oferowanym aparacie przetwarzane są dane osobowe  (np. imię, nazwisko, pesel, data urodzenia,  płeć, itd.)</w:t>
                  </w:r>
                </w:p>
              </w:tc>
              <w:tc>
                <w:tcPr>
                  <w:tcW w:w="1612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suppressAutoHyphens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t>TAK/ NIE</w:t>
                  </w: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  <w:lang w:eastAsia="zh-CN"/>
                    </w:rPr>
                    <w:footnoteReference w:id="3"/>
                  </w: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t xml:space="preserve">  Jeżeli tak, podać jakie</w:t>
                  </w:r>
                </w:p>
              </w:tc>
              <w:tc>
                <w:tcPr>
                  <w:tcW w:w="1694" w:type="dxa"/>
                </w:tcPr>
                <w:p w:rsidR="008C4E42" w:rsidRPr="008C4E42" w:rsidRDefault="008C4E42" w:rsidP="008C4E42">
                  <w:pPr>
                    <w:suppressAutoHyphens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 w:rsidR="00900523" w:rsidRPr="008C4E42" w:rsidTr="008E2303">
              <w:trPr>
                <w:cantSplit/>
                <w:trHeight w:val="20"/>
              </w:trPr>
              <w:tc>
                <w:tcPr>
                  <w:tcW w:w="558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suppressAutoHyphens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t>4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suppressAutoHyphens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t>Czy Wykonawca będzie wymagał zdalnego dostępu do zasobów sieci teleinformatycznej Zamawiającego w celu realizacji zobowiązań wynikających z umowy</w:t>
                  </w:r>
                </w:p>
              </w:tc>
              <w:tc>
                <w:tcPr>
                  <w:tcW w:w="1612" w:type="dxa"/>
                  <w:shd w:val="clear" w:color="auto" w:fill="auto"/>
                  <w:vAlign w:val="center"/>
                </w:tcPr>
                <w:p w:rsidR="008C4E42" w:rsidRPr="008C4E42" w:rsidRDefault="008C4E42" w:rsidP="008C4E42">
                  <w:pPr>
                    <w:suppressAutoHyphens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t>TAK/ NIE</w:t>
                  </w:r>
                  <w:r w:rsidRPr="008C4E42">
                    <w:rPr>
                      <w:rStyle w:val="Odwoanieprzypisudolnego"/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footnoteReference w:id="4"/>
                  </w:r>
                  <w:r w:rsidRPr="008C4E42"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  <w:t xml:space="preserve">  Jeżeli tak, podać</w:t>
                  </w:r>
                </w:p>
              </w:tc>
              <w:tc>
                <w:tcPr>
                  <w:tcW w:w="1694" w:type="dxa"/>
                </w:tcPr>
                <w:p w:rsidR="008C4E42" w:rsidRPr="008C4E42" w:rsidRDefault="008C4E42" w:rsidP="008C4E42">
                  <w:pPr>
                    <w:suppressAutoHyphens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1980" w:type="dxa"/>
                </w:tcPr>
                <w:p w:rsidR="008C4E42" w:rsidRPr="008C4E42" w:rsidRDefault="008C4E42" w:rsidP="008C4E42">
                  <w:pPr>
                    <w:suppressAutoHyphens/>
                    <w:rPr>
                      <w:rFonts w:ascii="Times New Roman" w:hAnsi="Times New Roman" w:cs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 w:rsidR="00AD78EE" w:rsidRPr="00AD78EE" w:rsidRDefault="00AD78EE" w:rsidP="00AD78EE">
            <w:pPr>
              <w:tabs>
                <w:tab w:val="left" w:pos="5812"/>
                <w:tab w:val="left" w:pos="9781"/>
              </w:tabs>
              <w:suppressAutoHyphens/>
              <w:ind w:left="2410" w:hanging="241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</w:p>
          <w:p w:rsidR="00AD78EE" w:rsidRPr="00AD78EE" w:rsidRDefault="00AD78EE" w:rsidP="00AD78EE">
            <w:pPr>
              <w:suppressAutoHyphens/>
              <w:ind w:firstLine="70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  <w:p w:rsidR="00AD78EE" w:rsidRPr="00AD78EE" w:rsidRDefault="00AD78EE" w:rsidP="00AD78EE">
            <w:pP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D78EE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Treść oświadczenia wykonawcy: </w:t>
            </w:r>
          </w:p>
          <w:p w:rsidR="00AD78EE" w:rsidRPr="00AD78EE" w:rsidRDefault="00AD78EE" w:rsidP="00900523">
            <w:pPr>
              <w:numPr>
                <w:ilvl w:val="0"/>
                <w:numId w:val="3"/>
              </w:numPr>
              <w:suppressAutoHyphens/>
              <w:ind w:right="119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D78E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Oświadczamy, że przedstawione powyżej dane są prawdziwe oraz zobowiązujemy się w przypadku wygrania postępowania do dostarczenia sprzętu spełniającego wyspecyfikowane parametry.</w:t>
            </w:r>
          </w:p>
          <w:p w:rsidR="00AD78EE" w:rsidRPr="00AD78EE" w:rsidRDefault="00AD78EE" w:rsidP="00900523">
            <w:pPr>
              <w:numPr>
                <w:ilvl w:val="0"/>
                <w:numId w:val="3"/>
              </w:numPr>
              <w:suppressAutoHyphens/>
              <w:ind w:left="357" w:right="119" w:hanging="3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D78E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Oświadczamy, że oferowany, powyżej wyspecyfikowany sprzęt jest kompletny i po zainstalowaniu będzie gotowy do eksploatacji, bez żadnych dodatkowych zakupów i inwestycji.</w:t>
            </w:r>
          </w:p>
          <w:p w:rsidR="00FC153E" w:rsidRPr="00AD78EE" w:rsidRDefault="00FC153E" w:rsidP="0029736F">
            <w:pPr>
              <w:suppressAutoHyphens/>
              <w:ind w:right="1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00523" w:rsidRDefault="00900523" w:rsidP="003B0048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  <w:bookmarkStart w:id="1" w:name="_GoBack"/>
      <w:bookmarkEnd w:id="1"/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P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900523" w:rsidRDefault="00900523" w:rsidP="00900523">
      <w:pPr>
        <w:rPr>
          <w:rFonts w:ascii="Times New Roman" w:hAnsi="Times New Roman" w:cs="Times New Roman"/>
          <w:sz w:val="16"/>
          <w:szCs w:val="16"/>
        </w:rPr>
      </w:pPr>
    </w:p>
    <w:p w:rsidR="00D37F51" w:rsidRDefault="00900523" w:rsidP="00900523">
      <w:pPr>
        <w:tabs>
          <w:tab w:val="left" w:pos="930"/>
        </w:tabs>
        <w:rPr>
          <w:rFonts w:ascii="Times New Roman" w:eastAsia="Calibri" w:hAnsi="Times New Roman"/>
          <w:b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sectPr w:rsidR="00D37F51" w:rsidSect="00244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E42" w:rsidRDefault="008C4E42" w:rsidP="00C849D4">
      <w:pPr>
        <w:spacing w:after="0" w:line="240" w:lineRule="auto"/>
      </w:pPr>
      <w:r>
        <w:separator/>
      </w:r>
    </w:p>
  </w:endnote>
  <w:endnote w:type="continuationSeparator" w:id="0">
    <w:p w:rsidR="008C4E42" w:rsidRDefault="008C4E42" w:rsidP="00C84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E42" w:rsidRDefault="008C4E42" w:rsidP="00C849D4">
      <w:pPr>
        <w:spacing w:after="0" w:line="240" w:lineRule="auto"/>
      </w:pPr>
      <w:r>
        <w:separator/>
      </w:r>
    </w:p>
  </w:footnote>
  <w:footnote w:type="continuationSeparator" w:id="0">
    <w:p w:rsidR="008C4E42" w:rsidRDefault="008C4E42" w:rsidP="00C849D4">
      <w:pPr>
        <w:spacing w:after="0" w:line="240" w:lineRule="auto"/>
      </w:pPr>
      <w:r>
        <w:continuationSeparator/>
      </w:r>
    </w:p>
  </w:footnote>
  <w:footnote w:id="1">
    <w:p w:rsidR="008C4E42" w:rsidRPr="00AD78EE" w:rsidRDefault="008C4E42">
      <w:pPr>
        <w:pStyle w:val="Tekstprzypisudolnego"/>
        <w:rPr>
          <w:rFonts w:ascii="Times New Roman" w:hAnsi="Times New Roman" w:cs="Times New Roman"/>
        </w:rPr>
      </w:pPr>
      <w:r w:rsidRPr="00AD78EE">
        <w:rPr>
          <w:rStyle w:val="Odwoanieprzypisudolnego"/>
          <w:rFonts w:ascii="Times New Roman" w:hAnsi="Times New Roman" w:cs="Times New Roman"/>
        </w:rPr>
        <w:footnoteRef/>
      </w:r>
      <w:r w:rsidRPr="00AD78EE">
        <w:rPr>
          <w:rFonts w:ascii="Times New Roman" w:eastAsia="Calibri" w:hAnsi="Times New Roman" w:cs="Times New Roman"/>
          <w:b/>
          <w:sz w:val="18"/>
          <w:szCs w:val="18"/>
          <w:u w:val="single"/>
        </w:rPr>
        <w:t>UWAGA! Jeżeli poszczególne elementy posiadają różne stawki % VAT, należy wpisać wartości oddzielnie dla każdej stawki</w:t>
      </w:r>
    </w:p>
  </w:footnote>
  <w:footnote w:id="2">
    <w:p w:rsidR="008C4E42" w:rsidRPr="00C75D20" w:rsidRDefault="008C4E42" w:rsidP="008C4E42">
      <w:pPr>
        <w:pStyle w:val="Tekstprzypisudolnego"/>
        <w:rPr>
          <w:rFonts w:ascii="Times New Roman" w:hAnsi="Times New Roman" w:cs="Times New Roman"/>
        </w:rPr>
      </w:pPr>
      <w:r w:rsidRPr="00C75D20">
        <w:rPr>
          <w:rStyle w:val="Odwoanieprzypisudolnego"/>
          <w:rFonts w:ascii="Times New Roman" w:hAnsi="Times New Roman" w:cs="Times New Roman"/>
        </w:rPr>
        <w:footnoteRef/>
      </w:r>
      <w:r w:rsidRPr="00C75D20">
        <w:rPr>
          <w:rFonts w:ascii="Times New Roman" w:hAnsi="Times New Roman" w:cs="Times New Roman"/>
        </w:rPr>
        <w:t xml:space="preserve"> Odpowiedź NIE - nie powoduje odrzucenia oferty</w:t>
      </w:r>
    </w:p>
  </w:footnote>
  <w:footnote w:id="3">
    <w:p w:rsidR="008C4E42" w:rsidRPr="00C75D20" w:rsidRDefault="008C4E42" w:rsidP="008C4E42">
      <w:pPr>
        <w:pStyle w:val="Tekstprzypisudolnego"/>
        <w:rPr>
          <w:rFonts w:ascii="Times New Roman" w:hAnsi="Times New Roman" w:cs="Times New Roman"/>
        </w:rPr>
      </w:pPr>
      <w:r w:rsidRPr="00C75D20">
        <w:rPr>
          <w:rStyle w:val="Odwoanieprzypisudolnego"/>
          <w:rFonts w:ascii="Times New Roman" w:hAnsi="Times New Roman" w:cs="Times New Roman"/>
        </w:rPr>
        <w:footnoteRef/>
      </w:r>
      <w:r w:rsidRPr="00C75D20">
        <w:rPr>
          <w:rFonts w:ascii="Times New Roman" w:hAnsi="Times New Roman" w:cs="Times New Roman"/>
        </w:rPr>
        <w:t xml:space="preserve"> Odpowiedź NIE - nie powoduje odrzucenia oferty</w:t>
      </w:r>
    </w:p>
  </w:footnote>
  <w:footnote w:id="4">
    <w:p w:rsidR="008C4E42" w:rsidRDefault="008C4E42" w:rsidP="008C4E42">
      <w:pPr>
        <w:pStyle w:val="Tekstprzypisudolnego"/>
      </w:pPr>
      <w:r w:rsidRPr="00C75D20">
        <w:rPr>
          <w:rStyle w:val="Odwoanieprzypisudolnego"/>
          <w:rFonts w:ascii="Times New Roman" w:hAnsi="Times New Roman" w:cs="Times New Roman"/>
        </w:rPr>
        <w:footnoteRef/>
      </w:r>
      <w:r w:rsidRPr="00C75D20">
        <w:rPr>
          <w:rFonts w:ascii="Times New Roman" w:hAnsi="Times New Roman" w:cs="Times New Roman"/>
        </w:rPr>
        <w:t xml:space="preserve"> Odpowiedź NIE - nie powoduje odrzucenia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C7058F0"/>
    <w:multiLevelType w:val="hybridMultilevel"/>
    <w:tmpl w:val="74D4660A"/>
    <w:lvl w:ilvl="0" w:tplc="6DEA2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B8A55E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Paragraf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6FFD12F3"/>
    <w:multiLevelType w:val="hybridMultilevel"/>
    <w:tmpl w:val="45BE0B32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57970A1"/>
    <w:multiLevelType w:val="hybridMultilevel"/>
    <w:tmpl w:val="3FAC163A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6D6DA6"/>
    <w:multiLevelType w:val="hybridMultilevel"/>
    <w:tmpl w:val="8E0AAC44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C65"/>
    <w:rsid w:val="000151EC"/>
    <w:rsid w:val="00054AA2"/>
    <w:rsid w:val="001860F7"/>
    <w:rsid w:val="001E45BE"/>
    <w:rsid w:val="001E5FE7"/>
    <w:rsid w:val="0024177D"/>
    <w:rsid w:val="00244C6F"/>
    <w:rsid w:val="0029736F"/>
    <w:rsid w:val="002E3E88"/>
    <w:rsid w:val="003B0048"/>
    <w:rsid w:val="00412C3A"/>
    <w:rsid w:val="00462585"/>
    <w:rsid w:val="00572996"/>
    <w:rsid w:val="005A13D5"/>
    <w:rsid w:val="005C7849"/>
    <w:rsid w:val="005C7B55"/>
    <w:rsid w:val="005E6CD2"/>
    <w:rsid w:val="00603AEA"/>
    <w:rsid w:val="0064672C"/>
    <w:rsid w:val="0065125E"/>
    <w:rsid w:val="00681B37"/>
    <w:rsid w:val="006C2D01"/>
    <w:rsid w:val="006E0065"/>
    <w:rsid w:val="00705E71"/>
    <w:rsid w:val="0076360A"/>
    <w:rsid w:val="007A48F5"/>
    <w:rsid w:val="007C510B"/>
    <w:rsid w:val="0086371D"/>
    <w:rsid w:val="008C4E42"/>
    <w:rsid w:val="008E2303"/>
    <w:rsid w:val="008F37F0"/>
    <w:rsid w:val="00900523"/>
    <w:rsid w:val="00914FD6"/>
    <w:rsid w:val="00966D98"/>
    <w:rsid w:val="00984C94"/>
    <w:rsid w:val="00987122"/>
    <w:rsid w:val="0099035D"/>
    <w:rsid w:val="00996DE2"/>
    <w:rsid w:val="009A1BB5"/>
    <w:rsid w:val="00A1270F"/>
    <w:rsid w:val="00AA1745"/>
    <w:rsid w:val="00AD78EE"/>
    <w:rsid w:val="00AF7BC1"/>
    <w:rsid w:val="00BA4D75"/>
    <w:rsid w:val="00BE51DC"/>
    <w:rsid w:val="00BF1421"/>
    <w:rsid w:val="00C75D20"/>
    <w:rsid w:val="00C849D4"/>
    <w:rsid w:val="00CB0C97"/>
    <w:rsid w:val="00CC2107"/>
    <w:rsid w:val="00CD2987"/>
    <w:rsid w:val="00CE2C65"/>
    <w:rsid w:val="00CF6F9B"/>
    <w:rsid w:val="00D37F51"/>
    <w:rsid w:val="00D91354"/>
    <w:rsid w:val="00D931FB"/>
    <w:rsid w:val="00E17938"/>
    <w:rsid w:val="00E9772D"/>
    <w:rsid w:val="00EC589A"/>
    <w:rsid w:val="00EF2AAD"/>
    <w:rsid w:val="00F11190"/>
    <w:rsid w:val="00F52EC0"/>
    <w:rsid w:val="00FC153E"/>
    <w:rsid w:val="00FD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46CD4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49D4"/>
    <w:pPr>
      <w:keepNext/>
      <w:numPr>
        <w:numId w:val="1"/>
      </w:num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849D4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1"/>
    <w:qFormat/>
    <w:rsid w:val="00C849D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849D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849D4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849D4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49D4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49D4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49D4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CE2C65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2C65"/>
    <w:rPr>
      <w:color w:val="954F72"/>
      <w:u w:val="single"/>
    </w:rPr>
  </w:style>
  <w:style w:type="paragraph" w:customStyle="1" w:styleId="font5">
    <w:name w:val="font5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3">
    <w:name w:val="xl63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4">
    <w:name w:val="xl64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09">
    <w:name w:val="xl10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CE2C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1">
    <w:name w:val="xl13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2">
    <w:name w:val="xl13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3">
    <w:name w:val="xl13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4">
    <w:name w:val="xl134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6">
    <w:name w:val="xl13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7">
    <w:name w:val="xl137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8">
    <w:name w:val="xl138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9">
    <w:name w:val="xl139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0">
    <w:name w:val="xl14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0">
    <w:name w:val="xl150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1">
    <w:name w:val="xl15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2">
    <w:name w:val="xl15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3">
    <w:name w:val="xl15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4">
    <w:name w:val="xl154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5">
    <w:name w:val="xl15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6">
    <w:name w:val="xl15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7">
    <w:name w:val="xl15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8">
    <w:name w:val="xl15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E2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849D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849D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rsid w:val="00C849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C849D4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849D4"/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C849D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C849D4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849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849D4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customStyle="1" w:styleId="Nagwek3Znak1">
    <w:name w:val="Nagłówek 3 Znak1"/>
    <w:link w:val="Nagwek3"/>
    <w:locked/>
    <w:rsid w:val="00C849D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849D4"/>
  </w:style>
  <w:style w:type="paragraph" w:styleId="Stopka">
    <w:name w:val="footer"/>
    <w:basedOn w:val="Normalny"/>
    <w:link w:val="Stopka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D4"/>
  </w:style>
  <w:style w:type="paragraph" w:styleId="Bezodstpw">
    <w:name w:val="No Spacing"/>
    <w:link w:val="BezodstpwZnak"/>
    <w:uiPriority w:val="99"/>
    <w:qFormat/>
    <w:rsid w:val="00C849D4"/>
    <w:pPr>
      <w:spacing w:after="0" w:line="240" w:lineRule="auto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D37F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37F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37F51"/>
    <w:rPr>
      <w:vertAlign w:val="superscript"/>
    </w:rPr>
  </w:style>
  <w:style w:type="paragraph" w:customStyle="1" w:styleId="Standard">
    <w:name w:val="Standard"/>
    <w:qFormat/>
    <w:rsid w:val="00D37F51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A"/>
      <w:kern w:val="3"/>
      <w:sz w:val="24"/>
      <w:szCs w:val="24"/>
      <w:lang w:eastAsia="hi-IN" w:bidi="hi-IN"/>
    </w:rPr>
  </w:style>
  <w:style w:type="character" w:styleId="Wyrnieniedelikatne">
    <w:name w:val="Subtle Emphasis"/>
    <w:rsid w:val="00D37F51"/>
    <w:rPr>
      <w:i/>
      <w:iCs/>
      <w:color w:val="404040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52EC0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F52EC0"/>
    <w:rPr>
      <w:rFonts w:cs="Times New Roman"/>
      <w:sz w:val="24"/>
      <w:szCs w:val="24"/>
      <w:lang w:val="en-US" w:bidi="en-US"/>
    </w:rPr>
  </w:style>
  <w:style w:type="paragraph" w:customStyle="1" w:styleId="Default">
    <w:name w:val="Default"/>
    <w:rsid w:val="00FC15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06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9035D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customStyle="1" w:styleId="q4iawc">
    <w:name w:val="q4iawc"/>
    <w:rsid w:val="0029736F"/>
  </w:style>
  <w:style w:type="paragraph" w:styleId="Tekstkomentarza">
    <w:name w:val="annotation text"/>
    <w:basedOn w:val="Normalny"/>
    <w:link w:val="TekstkomentarzaZnak"/>
    <w:semiHidden/>
    <w:rsid w:val="00AD7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D78E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C4E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99"/>
    <w:rsid w:val="008C4E42"/>
  </w:style>
  <w:style w:type="paragraph" w:styleId="Tytu">
    <w:name w:val="Title"/>
    <w:basedOn w:val="Normalny"/>
    <w:link w:val="TytuZnak"/>
    <w:uiPriority w:val="99"/>
    <w:qFormat/>
    <w:rsid w:val="008C4E4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C4E4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8C4E42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8C4E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C4E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5"/>
      <w:szCs w:val="15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C4E42"/>
    <w:rPr>
      <w:rFonts w:ascii="Times New Roman" w:eastAsia="Times New Roman" w:hAnsi="Times New Roman" w:cs="Times New Roman"/>
      <w:sz w:val="15"/>
      <w:szCs w:val="15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8C4E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link w:val="Teksttreci0"/>
    <w:uiPriority w:val="99"/>
    <w:locked/>
    <w:rsid w:val="008C4E42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8C4E42"/>
    <w:pPr>
      <w:shd w:val="clear" w:color="auto" w:fill="FFFFFF"/>
      <w:spacing w:after="0" w:line="240" w:lineRule="atLeast"/>
    </w:pPr>
    <w:rPr>
      <w:sz w:val="17"/>
    </w:rPr>
  </w:style>
  <w:style w:type="character" w:customStyle="1" w:styleId="TekstprzypisudolnegoZnak1">
    <w:name w:val="Tekst przypisu dolnego Znak1"/>
    <w:aliases w:val="Podrozdział Znak1"/>
    <w:uiPriority w:val="99"/>
    <w:locked/>
    <w:rsid w:val="008C4E42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91132">
    <w:name w:val="WW8Num291132"/>
    <w:rsid w:val="008C4E42"/>
    <w:pPr>
      <w:numPr>
        <w:numId w:val="4"/>
      </w:numPr>
    </w:pPr>
  </w:style>
  <w:style w:type="numbering" w:customStyle="1" w:styleId="WW8Num29132">
    <w:name w:val="WW8Num29132"/>
    <w:rsid w:val="008C4E42"/>
    <w:pPr>
      <w:numPr>
        <w:numId w:val="5"/>
      </w:numPr>
    </w:pPr>
  </w:style>
  <w:style w:type="paragraph" w:customStyle="1" w:styleId="Domynie">
    <w:name w:val="Domy徑nie"/>
    <w:rsid w:val="008C4E42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8C4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8C4E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ekstkomentarza1">
    <w:name w:val="Tekst komentarza1"/>
    <w:basedOn w:val="Normalny"/>
    <w:rsid w:val="008C4E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ezodstpw2">
    <w:name w:val="Bez odstępów2"/>
    <w:rsid w:val="008C4E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user">
    <w:name w:val="Standard (user)"/>
    <w:rsid w:val="008C4E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Nagwek61">
    <w:name w:val="Nagłówek 61"/>
    <w:next w:val="Standard"/>
    <w:rsid w:val="008C4E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en-GB" w:eastAsia="pl-PL" w:bidi="pl-PL"/>
    </w:rPr>
  </w:style>
  <w:style w:type="paragraph" w:customStyle="1" w:styleId="Heading21">
    <w:name w:val="Heading 21"/>
    <w:next w:val="Standard"/>
    <w:rsid w:val="008C4E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en-GB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20AF5-E5B4-43FB-9CF2-3A75DDE99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19</Pages>
  <Words>6193</Words>
  <Characters>37162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6</cp:revision>
  <cp:lastPrinted>2024-03-12T07:24:00Z</cp:lastPrinted>
  <dcterms:created xsi:type="dcterms:W3CDTF">2024-11-08T12:23:00Z</dcterms:created>
  <dcterms:modified xsi:type="dcterms:W3CDTF">2024-11-08T12:46:00Z</dcterms:modified>
</cp:coreProperties>
</file>