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7D9D" w14:textId="089251F2" w:rsidR="00FD29E9" w:rsidRPr="001878FD" w:rsidRDefault="003864D9" w:rsidP="0082068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40FD4D6C" w14:textId="1F6F8794" w:rsidR="00330549" w:rsidRPr="008B302D" w:rsidRDefault="00B16D64" w:rsidP="008B302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8B302D">
        <w:rPr>
          <w:rFonts w:ascii="Arial" w:hAnsi="Arial" w:cs="Arial"/>
        </w:rPr>
        <w:t xml:space="preserve">zakup </w:t>
      </w:r>
      <w:r w:rsidR="00A75F3C">
        <w:rPr>
          <w:rFonts w:ascii="Arial" w:hAnsi="Arial" w:cs="Arial"/>
        </w:rPr>
        <w:t>opatrunku</w:t>
      </w:r>
      <w:r w:rsidR="008B302D">
        <w:rPr>
          <w:rFonts w:ascii="Arial" w:hAnsi="Arial" w:cs="Arial"/>
        </w:rPr>
        <w:t xml:space="preserve"> </w:t>
      </w:r>
      <w:r w:rsidR="00A75F3C">
        <w:rPr>
          <w:rFonts w:ascii="Arial" w:hAnsi="Arial" w:cs="Arial"/>
        </w:rPr>
        <w:t>hemostatycznego</w:t>
      </w:r>
      <w:r w:rsidR="00FB1BA8">
        <w:rPr>
          <w:rFonts w:ascii="Arial" w:hAnsi="Arial" w:cs="Arial"/>
        </w:rPr>
        <w:t xml:space="preserve"> do zestawu </w:t>
      </w:r>
      <w:proofErr w:type="spellStart"/>
      <w:r w:rsidR="00FB1BA8">
        <w:rPr>
          <w:rFonts w:ascii="Arial" w:hAnsi="Arial" w:cs="Arial"/>
        </w:rPr>
        <w:t>IPMed</w:t>
      </w:r>
      <w:proofErr w:type="spellEnd"/>
      <w:r w:rsidR="008B302D">
        <w:rPr>
          <w:rFonts w:ascii="Arial" w:hAnsi="Arial" w:cs="Arial"/>
        </w:rPr>
        <w:t xml:space="preserve"> </w:t>
      </w:r>
      <w:r w:rsidRPr="008B302D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8B302D">
        <w:rPr>
          <w:rFonts w:ascii="Arial" w:hAnsi="Arial" w:cs="Arial"/>
        </w:rPr>
        <w:t>zamówienia oraz zgodnie z obowiązującymi przepisami.</w:t>
      </w:r>
    </w:p>
    <w:p w14:paraId="760CD79B" w14:textId="506105E5" w:rsidR="00AD5F9D" w:rsidRDefault="00AD5F9D" w:rsidP="00AD5F9D">
      <w:pPr>
        <w:pStyle w:val="Akapitzlist"/>
        <w:spacing w:before="120" w:after="12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2.   </w:t>
      </w:r>
      <w:r w:rsidR="00542EEB">
        <w:rPr>
          <w:rFonts w:ascii="Arial" w:hAnsi="Arial" w:cs="Arial"/>
        </w:rPr>
        <w:t>Zakresem przedmiotu</w:t>
      </w:r>
      <w:r w:rsidR="00330549" w:rsidRPr="003864D9">
        <w:rPr>
          <w:rFonts w:ascii="Arial" w:hAnsi="Arial" w:cs="Arial"/>
        </w:rPr>
        <w:t xml:space="preserve"> zamówienia objęt</w:t>
      </w:r>
      <w:r w:rsidR="00A75F3C">
        <w:rPr>
          <w:rFonts w:ascii="Arial" w:hAnsi="Arial" w:cs="Arial"/>
        </w:rPr>
        <w:t>y</w:t>
      </w:r>
      <w:r w:rsidR="00330549" w:rsidRPr="003864D9">
        <w:rPr>
          <w:rFonts w:ascii="Arial" w:hAnsi="Arial" w:cs="Arial"/>
        </w:rPr>
        <w:t xml:space="preserve"> </w:t>
      </w:r>
      <w:r w:rsidR="00A75F3C">
        <w:rPr>
          <w:rFonts w:ascii="Arial" w:hAnsi="Arial" w:cs="Arial"/>
        </w:rPr>
        <w:t>jest</w:t>
      </w:r>
      <w:r w:rsidR="00330549" w:rsidRPr="003864D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C5EA5F0" w14:textId="351965B6" w:rsidR="00AD5F9D" w:rsidRPr="00AD5F9D" w:rsidRDefault="00AD5F9D" w:rsidP="00AD5F9D">
      <w:pPr>
        <w:pStyle w:val="Akapitzlist"/>
        <w:spacing w:before="120" w:after="120" w:line="240" w:lineRule="auto"/>
        <w:ind w:left="425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1</w:t>
      </w:r>
    </w:p>
    <w:tbl>
      <w:tblPr>
        <w:tblStyle w:val="Tabela-Siatka"/>
        <w:tblpPr w:leftFromText="141" w:rightFromText="141" w:vertAnchor="text" w:horzAnchor="margin" w:tblpX="-147" w:tblpY="-41"/>
        <w:tblW w:w="10060" w:type="dxa"/>
        <w:tblLayout w:type="fixed"/>
        <w:tblLook w:val="04A0" w:firstRow="1" w:lastRow="0" w:firstColumn="1" w:lastColumn="0" w:noHBand="0" w:noVBand="1"/>
      </w:tblPr>
      <w:tblGrid>
        <w:gridCol w:w="730"/>
        <w:gridCol w:w="5371"/>
        <w:gridCol w:w="709"/>
        <w:gridCol w:w="698"/>
        <w:gridCol w:w="2552"/>
      </w:tblGrid>
      <w:tr w:rsidR="00AD5F9D" w:rsidRPr="003864D9" w14:paraId="4EEBB038" w14:textId="77777777" w:rsidTr="00FD29E9">
        <w:trPr>
          <w:trHeight w:val="557"/>
        </w:trPr>
        <w:tc>
          <w:tcPr>
            <w:tcW w:w="730" w:type="dxa"/>
            <w:shd w:val="clear" w:color="auto" w:fill="FFFFFF" w:themeFill="background1"/>
            <w:vAlign w:val="center"/>
          </w:tcPr>
          <w:p w14:paraId="77BD1493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bookmarkStart w:id="0" w:name="_Hlk127257822"/>
            <w:r w:rsidRPr="001878FD">
              <w:rPr>
                <w:rFonts w:ascii="Arial" w:hAnsi="Arial" w:cs="Arial"/>
              </w:rPr>
              <w:t>L.p.</w:t>
            </w:r>
          </w:p>
        </w:tc>
        <w:tc>
          <w:tcPr>
            <w:tcW w:w="5371" w:type="dxa"/>
            <w:shd w:val="clear" w:color="auto" w:fill="FFFFFF" w:themeFill="background1"/>
            <w:vAlign w:val="center"/>
          </w:tcPr>
          <w:p w14:paraId="2BCB356D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Wykaz asortymentu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D7156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J.m.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3D81C8CF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Ilość</w:t>
            </w:r>
          </w:p>
        </w:tc>
        <w:tc>
          <w:tcPr>
            <w:tcW w:w="2552" w:type="dxa"/>
            <w:shd w:val="clear" w:color="auto" w:fill="FFFFFF" w:themeFill="background1"/>
          </w:tcPr>
          <w:p w14:paraId="37017B80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Minimalny wymagany okres ważności od daty złożenia oferty</w:t>
            </w:r>
          </w:p>
        </w:tc>
      </w:tr>
      <w:tr w:rsidR="00AD5F9D" w:rsidRPr="003864D9" w14:paraId="054B2CF3" w14:textId="77777777" w:rsidTr="00936171">
        <w:trPr>
          <w:trHeight w:val="10701"/>
        </w:trPr>
        <w:tc>
          <w:tcPr>
            <w:tcW w:w="730" w:type="dxa"/>
          </w:tcPr>
          <w:p w14:paraId="42D44290" w14:textId="77777777" w:rsidR="00AD5F9D" w:rsidRPr="001878FD" w:rsidRDefault="00AD5F9D" w:rsidP="00AD5F9D">
            <w:pPr>
              <w:jc w:val="both"/>
              <w:rPr>
                <w:rFonts w:ascii="Arial" w:hAnsi="Arial" w:cs="Arial"/>
                <w:b/>
              </w:rPr>
            </w:pPr>
            <w:bookmarkStart w:id="1" w:name="_Hlk127257755"/>
            <w:r w:rsidRPr="001878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371" w:type="dxa"/>
          </w:tcPr>
          <w:p w14:paraId="640A6F91" w14:textId="7FD11F58" w:rsidR="00AD5F9D" w:rsidRDefault="00AD5F9D" w:rsidP="00AD5F9D">
            <w:pPr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b/>
                <w:sz w:val="20"/>
                <w:szCs w:val="20"/>
              </w:rPr>
              <w:t>Opatrunek hemostatyczny</w:t>
            </w:r>
            <w:r w:rsidRPr="009361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C78A5" w14:textId="5C911BDE" w:rsidR="00936171" w:rsidRPr="00936171" w:rsidRDefault="00936171" w:rsidP="00AD5F9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ymagany </w:t>
            </w:r>
            <w:proofErr w:type="spellStart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>QuikClot</w:t>
            </w:r>
            <w:proofErr w:type="spellEnd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Combat </w:t>
            </w:r>
            <w:proofErr w:type="spellStart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>Gauze</w:t>
            </w:r>
            <w:proofErr w:type="spellEnd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lub </w:t>
            </w:r>
            <w:proofErr w:type="spellStart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>Celox</w:t>
            </w:r>
            <w:proofErr w:type="spellEnd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>Gauze</w:t>
            </w:r>
            <w:proofErr w:type="spellEnd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lub </w:t>
            </w:r>
            <w:proofErr w:type="spellStart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>Chitogauze</w:t>
            </w:r>
            <w:proofErr w:type="spellEnd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>HemCon</w:t>
            </w:r>
            <w:proofErr w:type="spellEnd"/>
            <w:r w:rsidRPr="009361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7F670508" w14:textId="77777777" w:rsidR="00AD5F9D" w:rsidRPr="00936171" w:rsidRDefault="00AD5F9D" w:rsidP="00AD5F9D">
            <w:pPr>
              <w:pStyle w:val="Akapitzlist"/>
              <w:numPr>
                <w:ilvl w:val="0"/>
                <w:numId w:val="44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Zastosowanie: tamowanie zagrażających życiu krwotoków o średniej i dużej intensywności krwawienia, w szczególności z ran głębokich i krwotoków tętniczych przez żołnierzy przeszkolonych w zakresie udzielania pierwszej pomocy według procedur ratownictwa w warunkach taktycznych określonych w aktualnych wytycznych TCCC.</w:t>
            </w:r>
          </w:p>
          <w:p w14:paraId="2E3911AC" w14:textId="77777777" w:rsidR="00AD5F9D" w:rsidRPr="00936171" w:rsidRDefault="00AD5F9D" w:rsidP="00AD5F9D">
            <w:pPr>
              <w:pStyle w:val="Akapitzlist"/>
              <w:numPr>
                <w:ilvl w:val="0"/>
                <w:numId w:val="44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Wysoka efektywność hemostatyczna.</w:t>
            </w:r>
          </w:p>
          <w:p w14:paraId="5E67C06F" w14:textId="77777777" w:rsidR="00AD5F9D" w:rsidRPr="00936171" w:rsidRDefault="00AD5F9D" w:rsidP="00AD5F9D">
            <w:pPr>
              <w:pStyle w:val="Akapitzlist"/>
              <w:numPr>
                <w:ilvl w:val="0"/>
                <w:numId w:val="44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Natychmiastowa gotowość do użycia.</w:t>
            </w:r>
          </w:p>
          <w:p w14:paraId="4D4E5111" w14:textId="77777777" w:rsidR="00AD5F9D" w:rsidRPr="00936171" w:rsidRDefault="00AD5F9D" w:rsidP="00AD5F9D">
            <w:pPr>
              <w:pStyle w:val="Akapitzlist"/>
              <w:numPr>
                <w:ilvl w:val="0"/>
                <w:numId w:val="44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Bezpieczeństwo stosowania:</w:t>
            </w:r>
          </w:p>
          <w:p w14:paraId="5088E4D9" w14:textId="77777777" w:rsidR="00AD5F9D" w:rsidRPr="00936171" w:rsidRDefault="00AD5F9D" w:rsidP="00AD5F9D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Brak efektów ubocznych występujących przy stosowaniu zagrażających zdrowiu (w szczególności brak lub ograniczona reakcja egzotermiczna),</w:t>
            </w:r>
          </w:p>
          <w:p w14:paraId="2EC03359" w14:textId="77777777" w:rsidR="00AD5F9D" w:rsidRPr="00936171" w:rsidRDefault="00AD5F9D" w:rsidP="00AD5F9D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Środek hemostatyczny opatrunku nie jest wchłaniany przez organizm,</w:t>
            </w:r>
          </w:p>
          <w:p w14:paraId="1E7EA0FF" w14:textId="77777777" w:rsidR="00AD5F9D" w:rsidRPr="00936171" w:rsidRDefault="00AD5F9D" w:rsidP="00AD5F9D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Łatwy do usunięcia (opatrunek nie przykleja się do rany).</w:t>
            </w:r>
          </w:p>
          <w:p w14:paraId="7AF30AEF" w14:textId="77777777" w:rsidR="00AD5F9D" w:rsidRPr="00936171" w:rsidRDefault="00AD5F9D" w:rsidP="00AD5F9D">
            <w:pPr>
              <w:pStyle w:val="Akapitzlist"/>
              <w:ind w:left="1000" w:hanging="100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 xml:space="preserve">5) Forma opatrunku: nierozpuszczalna gaza z dodatkiem niezbędnej ilości środka hemostatycznego (tj. </w:t>
            </w:r>
            <w:proofErr w:type="spellStart"/>
            <w:r w:rsidRPr="00936171">
              <w:rPr>
                <w:rFonts w:ascii="Arial" w:hAnsi="Arial" w:cs="Arial"/>
                <w:sz w:val="20"/>
                <w:szCs w:val="20"/>
              </w:rPr>
              <w:t>chitosan</w:t>
            </w:r>
            <w:proofErr w:type="spellEnd"/>
            <w:r w:rsidRPr="00936171">
              <w:rPr>
                <w:rFonts w:ascii="Arial" w:hAnsi="Arial" w:cs="Arial"/>
                <w:sz w:val="20"/>
                <w:szCs w:val="20"/>
              </w:rPr>
              <w:t>, zeolit, kaolin), szerokość 6-10 cm i długości 3-4 m. Dopuszczalna jest długość gazy minimum 100 cm z dodatkiem środka hemostatycznego w ilości minimum 8g.</w:t>
            </w:r>
          </w:p>
          <w:p w14:paraId="58F76AC9" w14:textId="77777777" w:rsidR="00AD5F9D" w:rsidRPr="00936171" w:rsidRDefault="00AD5F9D" w:rsidP="00AD5F9D">
            <w:pPr>
              <w:pStyle w:val="Akapitzlist"/>
              <w:ind w:left="1000" w:hanging="100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6) Opatrunek sterylny.</w:t>
            </w:r>
          </w:p>
          <w:p w14:paraId="26C87384" w14:textId="77777777" w:rsidR="00AD5F9D" w:rsidRPr="00936171" w:rsidRDefault="00AD5F9D" w:rsidP="00AD5F9D">
            <w:pPr>
              <w:pStyle w:val="Akapitzlist"/>
              <w:ind w:left="1000" w:hanging="100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7) Opatrunek złożony w formie „Z” w opakowaniu.</w:t>
            </w:r>
          </w:p>
          <w:p w14:paraId="73046844" w14:textId="77777777" w:rsidR="00AD5F9D" w:rsidRPr="00936171" w:rsidRDefault="00AD5F9D" w:rsidP="00AD5F9D">
            <w:pPr>
              <w:pStyle w:val="Akapitzlist"/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8) Opakowanie wodoodporne, łatwe do     otwierania (posiadające nacięcia ułatwiające otwieranie). Preferowane jest opakowanie podciśnieniowe.</w:t>
            </w:r>
          </w:p>
          <w:p w14:paraId="0B20E654" w14:textId="77777777" w:rsidR="00AD5F9D" w:rsidRPr="00936171" w:rsidRDefault="00AD5F9D" w:rsidP="00AD5F9D">
            <w:pPr>
              <w:pStyle w:val="Akapitzlist"/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9) Opakowanie w ciemnym kolorze: zielonym, oliwkowym, brązowym lub szarym.</w:t>
            </w:r>
          </w:p>
          <w:p w14:paraId="0830CE1B" w14:textId="77777777" w:rsidR="00AD5F9D" w:rsidRPr="00936171" w:rsidRDefault="00AD5F9D" w:rsidP="00AD5F9D">
            <w:pPr>
              <w:pStyle w:val="Akapitzlist"/>
              <w:ind w:left="282" w:hanging="41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10) Przechowywanie: nie wymaga specjalnych warunków przechowywania, utrzymana jest stabilność fizykochemiczna w różnych warunkach atmosferycznych.</w:t>
            </w:r>
          </w:p>
          <w:p w14:paraId="535F8E04" w14:textId="77777777" w:rsidR="00AD5F9D" w:rsidRPr="00936171" w:rsidRDefault="00AD5F9D" w:rsidP="00AD5F9D">
            <w:pPr>
              <w:pStyle w:val="Akapitzlist"/>
              <w:ind w:left="282" w:hanging="41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 xml:space="preserve">11) Rekomendacja Co TCCC (Komitetu </w:t>
            </w:r>
            <w:proofErr w:type="spellStart"/>
            <w:r w:rsidRPr="00936171">
              <w:rPr>
                <w:rFonts w:ascii="Arial" w:hAnsi="Arial" w:cs="Arial"/>
                <w:sz w:val="20"/>
                <w:szCs w:val="20"/>
              </w:rPr>
              <w:t>Tactil</w:t>
            </w:r>
            <w:proofErr w:type="spellEnd"/>
            <w:r w:rsidRPr="00936171">
              <w:rPr>
                <w:rFonts w:ascii="Arial" w:hAnsi="Arial" w:cs="Arial"/>
                <w:sz w:val="20"/>
                <w:szCs w:val="20"/>
              </w:rPr>
              <w:t xml:space="preserve"> Combat </w:t>
            </w:r>
            <w:proofErr w:type="spellStart"/>
            <w:r w:rsidRPr="00936171">
              <w:rPr>
                <w:rFonts w:ascii="Arial" w:hAnsi="Arial" w:cs="Arial"/>
                <w:sz w:val="20"/>
                <w:szCs w:val="20"/>
              </w:rPr>
              <w:t>Casaulty</w:t>
            </w:r>
            <w:proofErr w:type="spellEnd"/>
            <w:r w:rsidRPr="009361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6171"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 w:rsidRPr="0093617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91BF381" w14:textId="52AEAD21" w:rsidR="00AD5F9D" w:rsidRPr="00936171" w:rsidRDefault="00AD5F9D" w:rsidP="00FD29E9">
            <w:pPr>
              <w:pStyle w:val="Akapitzlist"/>
              <w:ind w:left="282" w:hanging="410"/>
              <w:rPr>
                <w:rFonts w:ascii="Arial" w:hAnsi="Arial" w:cs="Arial"/>
                <w:sz w:val="20"/>
                <w:szCs w:val="20"/>
              </w:rPr>
            </w:pPr>
            <w:r w:rsidRPr="00936171">
              <w:rPr>
                <w:rFonts w:ascii="Arial" w:hAnsi="Arial" w:cs="Arial"/>
                <w:sz w:val="20"/>
                <w:szCs w:val="20"/>
              </w:rPr>
              <w:t>12) Instrukcja stosowania w języku polskim na opakowaniu (zalecane są piktogramy użycia).</w:t>
            </w:r>
          </w:p>
        </w:tc>
        <w:tc>
          <w:tcPr>
            <w:tcW w:w="709" w:type="dxa"/>
          </w:tcPr>
          <w:p w14:paraId="50596BA9" w14:textId="77777777" w:rsidR="00AD5F9D" w:rsidRPr="003864D9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  <w:b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8" w:type="dxa"/>
          </w:tcPr>
          <w:p w14:paraId="11841D65" w14:textId="77777777" w:rsidR="00AD5F9D" w:rsidRPr="001878FD" w:rsidRDefault="00AD5F9D" w:rsidP="00AD5F9D">
            <w:pPr>
              <w:jc w:val="center"/>
              <w:rPr>
                <w:rFonts w:ascii="Arial" w:hAnsi="Arial" w:cs="Arial"/>
                <w:b/>
              </w:rPr>
            </w:pPr>
            <w:r w:rsidRPr="001878FD">
              <w:rPr>
                <w:rFonts w:ascii="Arial" w:hAnsi="Arial" w:cs="Arial"/>
                <w:b/>
              </w:rPr>
              <w:t>163</w:t>
            </w:r>
          </w:p>
        </w:tc>
        <w:tc>
          <w:tcPr>
            <w:tcW w:w="2552" w:type="dxa"/>
          </w:tcPr>
          <w:p w14:paraId="14686DDB" w14:textId="2B71AE97" w:rsidR="00AD5F9D" w:rsidRPr="00936171" w:rsidRDefault="00AD5F9D" w:rsidP="00AD5F9D">
            <w:pPr>
              <w:jc w:val="center"/>
              <w:rPr>
                <w:rFonts w:ascii="Arial" w:hAnsi="Arial" w:cs="Arial"/>
                <w:b/>
              </w:rPr>
            </w:pPr>
            <w:r w:rsidRPr="00936171">
              <w:rPr>
                <w:rFonts w:ascii="Arial" w:hAnsi="Arial" w:cs="Arial"/>
                <w:b/>
              </w:rPr>
              <w:t>minimum 60 miesięcy (dopuszcza się okres ważności nie krótszy ni</w:t>
            </w:r>
            <w:r w:rsidR="00E113BE">
              <w:rPr>
                <w:rFonts w:ascii="Arial" w:hAnsi="Arial" w:cs="Arial"/>
                <w:b/>
              </w:rPr>
              <w:t>ż</w:t>
            </w:r>
            <w:r w:rsidRPr="00936171">
              <w:rPr>
                <w:rFonts w:ascii="Arial" w:hAnsi="Arial" w:cs="Arial"/>
                <w:b/>
              </w:rPr>
              <w:t xml:space="preserve"> 80% całkowitego okresu ważności, tj. 48 m-</w:t>
            </w:r>
            <w:proofErr w:type="spellStart"/>
            <w:r w:rsidRPr="00936171">
              <w:rPr>
                <w:rFonts w:ascii="Arial" w:hAnsi="Arial" w:cs="Arial"/>
                <w:b/>
              </w:rPr>
              <w:t>cy</w:t>
            </w:r>
            <w:proofErr w:type="spellEnd"/>
            <w:r w:rsidR="004A4BC4" w:rsidRPr="00936171">
              <w:rPr>
                <w:rFonts w:ascii="Arial" w:hAnsi="Arial" w:cs="Arial"/>
                <w:b/>
              </w:rPr>
              <w:t xml:space="preserve"> w dniu dostawy</w:t>
            </w:r>
            <w:r w:rsidRPr="00936171">
              <w:rPr>
                <w:rFonts w:ascii="Arial" w:hAnsi="Arial" w:cs="Arial"/>
                <w:b/>
              </w:rPr>
              <w:t>)</w:t>
            </w:r>
          </w:p>
        </w:tc>
      </w:tr>
      <w:bookmarkEnd w:id="0"/>
      <w:bookmarkEnd w:id="1"/>
    </w:tbl>
    <w:p w14:paraId="3A918B36" w14:textId="1A2E5ED2" w:rsidR="00266DFD" w:rsidRPr="00AD5F9D" w:rsidRDefault="00266DFD" w:rsidP="00AD5F9D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E683AC8" w14:textId="76055679" w:rsidR="008603FA" w:rsidRPr="009341AA" w:rsidRDefault="008603FA" w:rsidP="00E113BE">
      <w:pPr>
        <w:spacing w:after="0" w:line="276" w:lineRule="auto"/>
        <w:jc w:val="both"/>
        <w:rPr>
          <w:rFonts w:ascii="Arial" w:hAnsi="Arial" w:cs="Arial"/>
        </w:rPr>
      </w:pPr>
    </w:p>
    <w:p w14:paraId="1C054C49" w14:textId="77777777" w:rsidR="001D0327" w:rsidRDefault="00936171" w:rsidP="00E113BE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D29E9">
        <w:rPr>
          <w:rFonts w:ascii="Arial" w:hAnsi="Arial" w:cs="Arial"/>
        </w:rPr>
        <w:t xml:space="preserve">. </w:t>
      </w:r>
      <w:r w:rsidR="008B302D" w:rsidRPr="008B302D">
        <w:rPr>
          <w:rFonts w:ascii="Arial" w:hAnsi="Arial" w:cs="Arial"/>
        </w:rPr>
        <w:t xml:space="preserve">Okres ważności </w:t>
      </w:r>
      <w:r w:rsidR="00FD29E9">
        <w:rPr>
          <w:rFonts w:ascii="Arial" w:hAnsi="Arial" w:cs="Arial"/>
        </w:rPr>
        <w:t xml:space="preserve">opatrunku hemostatycznego </w:t>
      </w:r>
      <w:r w:rsidR="00201642">
        <w:rPr>
          <w:rFonts w:ascii="Arial" w:hAnsi="Arial" w:cs="Arial"/>
        </w:rPr>
        <w:t xml:space="preserve">nie może być </w:t>
      </w:r>
      <w:r w:rsidR="003C4F2B">
        <w:rPr>
          <w:rFonts w:ascii="Arial" w:hAnsi="Arial" w:cs="Arial"/>
        </w:rPr>
        <w:t>inny</w:t>
      </w:r>
      <w:r w:rsidR="00201642">
        <w:rPr>
          <w:rFonts w:ascii="Arial" w:hAnsi="Arial" w:cs="Arial"/>
        </w:rPr>
        <w:t xml:space="preserve"> niż</w:t>
      </w:r>
      <w:r w:rsidR="00E05C10">
        <w:rPr>
          <w:rFonts w:ascii="Arial" w:hAnsi="Arial" w:cs="Arial"/>
        </w:rPr>
        <w:t xml:space="preserve"> określon</w:t>
      </w:r>
      <w:r w:rsidR="003C4F2B">
        <w:rPr>
          <w:rFonts w:ascii="Arial" w:hAnsi="Arial" w:cs="Arial"/>
        </w:rPr>
        <w:t>y</w:t>
      </w:r>
      <w:r w:rsidR="00201642">
        <w:rPr>
          <w:rFonts w:ascii="Arial" w:hAnsi="Arial" w:cs="Arial"/>
        </w:rPr>
        <w:t xml:space="preserve"> w tabeli powyżej</w:t>
      </w:r>
      <w:r w:rsidR="008B302D" w:rsidRPr="008B302D">
        <w:rPr>
          <w:rFonts w:ascii="Arial" w:hAnsi="Arial" w:cs="Arial"/>
        </w:rPr>
        <w:t xml:space="preserve"> </w:t>
      </w:r>
      <w:r w:rsidR="001F0B67">
        <w:rPr>
          <w:rFonts w:ascii="Arial" w:hAnsi="Arial" w:cs="Arial"/>
        </w:rPr>
        <w:t>od daty złożenia oferty</w:t>
      </w:r>
      <w:r w:rsidR="008B302D" w:rsidRPr="008B302D">
        <w:rPr>
          <w:rFonts w:ascii="Arial" w:hAnsi="Arial" w:cs="Arial"/>
        </w:rPr>
        <w:t xml:space="preserve"> zgodnie z procedurą Zamawiającego.</w:t>
      </w:r>
    </w:p>
    <w:p w14:paraId="4080653C" w14:textId="7079E9C9" w:rsidR="004D3628" w:rsidRDefault="001D0327" w:rsidP="001D0327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wymaga 24 miesięcznej gwarancji na w/w opatrunek.</w:t>
      </w:r>
    </w:p>
    <w:p w14:paraId="5954AD18" w14:textId="6888AC66" w:rsidR="00463BB3" w:rsidRPr="006B55C5" w:rsidRDefault="001D0327" w:rsidP="00E113BE">
      <w:pPr>
        <w:autoSpaceDE w:val="0"/>
        <w:autoSpaceDN w:val="0"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63BB3" w:rsidRPr="006B55C5">
        <w:rPr>
          <w:rFonts w:ascii="Arial" w:hAnsi="Arial" w:cs="Arial"/>
        </w:rPr>
        <w:t>.</w:t>
      </w:r>
      <w:r w:rsidR="006B55C5" w:rsidRPr="006B55C5">
        <w:rPr>
          <w:rFonts w:ascii="Arial" w:hAnsi="Arial" w:cs="Arial"/>
        </w:rPr>
        <w:t xml:space="preserve"> </w:t>
      </w:r>
      <w:r w:rsidR="00463BB3" w:rsidRPr="006B55C5">
        <w:rPr>
          <w:rFonts w:ascii="Arial" w:hAnsi="Arial" w:cs="Arial"/>
        </w:rPr>
        <w:t xml:space="preserve">Towar po dostarczeniu do Zamawiającego będzie sprawdzany pod względem zarówno ilościowym jak i jakościowym (wady jawne) w miejscu odbioru, </w:t>
      </w:r>
      <w:r w:rsidR="00463BB3" w:rsidRPr="006B55C5">
        <w:rPr>
          <w:rFonts w:ascii="Arial" w:hAnsi="Arial" w:cs="Arial"/>
          <w:b/>
          <w:bCs/>
        </w:rPr>
        <w:t xml:space="preserve">w terminie 2 dni roboczych, </w:t>
      </w:r>
      <w:r w:rsidR="00463BB3" w:rsidRPr="006B55C5">
        <w:rPr>
          <w:rFonts w:ascii="Arial" w:hAnsi="Arial" w:cs="Arial"/>
        </w:rPr>
        <w:t>które należy wliczyć do terminu dostawy określonego w</w:t>
      </w:r>
      <w:r w:rsidR="00857A2A">
        <w:rPr>
          <w:rFonts w:ascii="Arial" w:hAnsi="Arial" w:cs="Arial"/>
        </w:rPr>
        <w:t xml:space="preserve"> pkt. </w:t>
      </w:r>
      <w:r w:rsidR="003C2C64">
        <w:rPr>
          <w:rFonts w:ascii="Arial" w:hAnsi="Arial" w:cs="Arial"/>
        </w:rPr>
        <w:t>16 Opisu przedmiotu zamówienia</w:t>
      </w:r>
      <w:r w:rsidR="00857A2A">
        <w:rPr>
          <w:rFonts w:ascii="Arial" w:hAnsi="Arial" w:cs="Arial"/>
        </w:rPr>
        <w:t xml:space="preserve">. </w:t>
      </w:r>
    </w:p>
    <w:p w14:paraId="08210A25" w14:textId="203952F6" w:rsidR="00BA749E" w:rsidRPr="002A1AC0" w:rsidRDefault="001D0327" w:rsidP="002A1AC0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F80198">
        <w:rPr>
          <w:rFonts w:ascii="Arial" w:hAnsi="Arial" w:cs="Arial"/>
        </w:rPr>
        <w:t>6</w:t>
      </w:r>
      <w:r w:rsidR="00FD29E9" w:rsidRPr="00F80198">
        <w:rPr>
          <w:rFonts w:ascii="Arial" w:hAnsi="Arial" w:cs="Arial"/>
        </w:rPr>
        <w:t>.</w:t>
      </w:r>
      <w:r w:rsidR="00BA749E" w:rsidRPr="00F80198">
        <w:rPr>
          <w:rFonts w:ascii="Arial" w:hAnsi="Arial" w:cs="Arial"/>
        </w:rPr>
        <w:t xml:space="preserve"> </w:t>
      </w:r>
      <w:r w:rsidR="002A1AC0" w:rsidRPr="00F80198">
        <w:rPr>
          <w:rFonts w:ascii="Arial" w:hAnsi="Arial" w:cs="Arial"/>
        </w:rPr>
        <w:t xml:space="preserve">Rozliczenie nastąpi na podstawie faktury odzwierciedlającej wartość brutto produktu wykazaną w </w:t>
      </w:r>
      <w:r w:rsidR="00B83B5D" w:rsidRPr="00F80198">
        <w:rPr>
          <w:rFonts w:ascii="Arial" w:hAnsi="Arial" w:cs="Arial"/>
        </w:rPr>
        <w:t>F</w:t>
      </w:r>
      <w:r w:rsidR="002A1AC0" w:rsidRPr="00F80198">
        <w:rPr>
          <w:rFonts w:ascii="Arial" w:hAnsi="Arial" w:cs="Arial"/>
        </w:rPr>
        <w:t>ormularzu oferty.</w:t>
      </w:r>
    </w:p>
    <w:p w14:paraId="6DDB9B9F" w14:textId="0F891C34" w:rsidR="00BA749E" w:rsidRPr="00BA749E" w:rsidRDefault="001D0327" w:rsidP="00BA749E">
      <w:pPr>
        <w:widowControl w:val="0"/>
        <w:autoSpaceDE w:val="0"/>
        <w:autoSpaceDN w:val="0"/>
        <w:adjustRightInd w:val="0"/>
        <w:spacing w:after="0" w:line="276" w:lineRule="auto"/>
        <w:ind w:left="284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BA749E">
        <w:rPr>
          <w:rFonts w:ascii="Arial" w:hAnsi="Arial" w:cs="Arial"/>
          <w:iCs/>
        </w:rPr>
        <w:t xml:space="preserve">. </w:t>
      </w:r>
      <w:r w:rsidR="00BA749E" w:rsidRPr="00BA749E">
        <w:rPr>
          <w:rFonts w:ascii="Arial" w:hAnsi="Arial" w:cs="Arial"/>
          <w:iCs/>
        </w:rPr>
        <w:t>Strony ustalają, że oprócz elementów wynikających z obowiązujących przepisów, faktura będzie zawierać:</w:t>
      </w:r>
    </w:p>
    <w:p w14:paraId="1CEE1315" w14:textId="77777777" w:rsidR="00BA749E" w:rsidRPr="002119B6" w:rsidRDefault="00BA749E" w:rsidP="00BA749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1)</w:t>
      </w:r>
      <w:r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 xml:space="preserve">nr </w:t>
      </w:r>
      <w:r>
        <w:rPr>
          <w:rFonts w:ascii="Arial" w:hAnsi="Arial" w:cs="Arial"/>
          <w:iCs/>
        </w:rPr>
        <w:t>Formularza zamówienia</w:t>
      </w:r>
      <w:r w:rsidRPr="002119B6">
        <w:rPr>
          <w:rFonts w:ascii="Arial" w:hAnsi="Arial" w:cs="Arial"/>
          <w:iCs/>
        </w:rPr>
        <w:t xml:space="preserve">, </w:t>
      </w:r>
    </w:p>
    <w:p w14:paraId="745ECAE4" w14:textId="77777777" w:rsidR="00BA749E" w:rsidRPr="002119B6" w:rsidRDefault="00BA749E" w:rsidP="00BA749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2)</w:t>
      </w:r>
      <w:r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 xml:space="preserve">zapis o terminie zapłaty </w:t>
      </w:r>
      <w:r>
        <w:rPr>
          <w:rFonts w:ascii="Arial" w:hAnsi="Arial" w:cs="Arial"/>
          <w:iCs/>
        </w:rPr>
        <w:t xml:space="preserve">- </w:t>
      </w:r>
      <w:r w:rsidRPr="002119B6">
        <w:rPr>
          <w:rFonts w:ascii="Arial" w:hAnsi="Arial" w:cs="Arial"/>
          <w:iCs/>
        </w:rPr>
        <w:t>„do 30 dni od daty doręczenia prawidłowo wystawionej faktury”.</w:t>
      </w:r>
    </w:p>
    <w:p w14:paraId="739A8ADB" w14:textId="4817CECD" w:rsidR="00BA749E" w:rsidRPr="00BA749E" w:rsidRDefault="001D0327" w:rsidP="00312A84">
      <w:pPr>
        <w:widowControl w:val="0"/>
        <w:autoSpaceDE w:val="0"/>
        <w:autoSpaceDN w:val="0"/>
        <w:adjustRightInd w:val="0"/>
        <w:spacing w:after="0" w:line="276" w:lineRule="auto"/>
        <w:ind w:left="284" w:right="2" w:hanging="284"/>
        <w:jc w:val="both"/>
        <w:rPr>
          <w:rFonts w:ascii="Arial" w:hAnsi="Arial" w:cs="Arial"/>
          <w:iCs/>
        </w:rPr>
      </w:pPr>
      <w:r w:rsidRPr="00F80198">
        <w:rPr>
          <w:rFonts w:ascii="Arial" w:hAnsi="Arial" w:cs="Arial"/>
          <w:iCs/>
        </w:rPr>
        <w:t>8</w:t>
      </w:r>
      <w:r w:rsidR="00BA749E" w:rsidRPr="00F80198">
        <w:rPr>
          <w:rFonts w:ascii="Arial" w:hAnsi="Arial" w:cs="Arial"/>
          <w:iCs/>
        </w:rPr>
        <w:t xml:space="preserve">. Podstawą do wystawienia faktury VAT przez Wykonawcę, jest </w:t>
      </w:r>
      <w:r w:rsidR="005D6799" w:rsidRPr="00F80198">
        <w:rPr>
          <w:rFonts w:ascii="Arial" w:hAnsi="Arial" w:cs="Arial"/>
          <w:iCs/>
        </w:rPr>
        <w:t>Protokół odbioru produktó</w:t>
      </w:r>
      <w:r w:rsidR="008746E3" w:rsidRPr="00F80198">
        <w:rPr>
          <w:rFonts w:ascii="Arial" w:hAnsi="Arial" w:cs="Arial"/>
          <w:iCs/>
        </w:rPr>
        <w:t>w potwierdzony przez p</w:t>
      </w:r>
      <w:r w:rsidR="00F55FA6" w:rsidRPr="00F80198">
        <w:rPr>
          <w:rFonts w:ascii="Arial" w:hAnsi="Arial" w:cs="Arial"/>
          <w:iCs/>
        </w:rPr>
        <w:t>rzedstawicieli</w:t>
      </w:r>
      <w:r w:rsidR="00BA749E" w:rsidRPr="00F80198">
        <w:rPr>
          <w:rFonts w:ascii="Arial" w:hAnsi="Arial" w:cs="Arial"/>
          <w:iCs/>
        </w:rPr>
        <w:t xml:space="preserve"> Zamawiającego </w:t>
      </w:r>
      <w:r w:rsidR="00F14A91" w:rsidRPr="00F80198">
        <w:rPr>
          <w:rFonts w:ascii="Arial" w:hAnsi="Arial" w:cs="Arial"/>
          <w:iCs/>
        </w:rPr>
        <w:t xml:space="preserve">określonych w pkt. </w:t>
      </w:r>
      <w:r w:rsidR="00D873F5" w:rsidRPr="00F80198">
        <w:rPr>
          <w:rFonts w:ascii="Arial" w:hAnsi="Arial" w:cs="Arial"/>
          <w:iCs/>
        </w:rPr>
        <w:t>20 Opisu przedmiotu zamówienia</w:t>
      </w:r>
    </w:p>
    <w:p w14:paraId="0ACDE17B" w14:textId="6591522C" w:rsidR="00BA749E" w:rsidRPr="002119B6" w:rsidRDefault="001D0327" w:rsidP="00312A8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9</w:t>
      </w:r>
      <w:r w:rsidR="00312A84">
        <w:rPr>
          <w:rFonts w:ascii="Arial" w:hAnsi="Arial" w:cs="Arial"/>
          <w:iCs/>
        </w:rPr>
        <w:t xml:space="preserve">. </w:t>
      </w:r>
      <w:r w:rsidR="00BA749E" w:rsidRPr="002119B6">
        <w:rPr>
          <w:rFonts w:ascii="Arial" w:hAnsi="Arial" w:cs="Arial"/>
          <w:iCs/>
        </w:rPr>
        <w:t>Wykonawca dołączy do fa</w:t>
      </w:r>
      <w:r w:rsidR="00BA749E">
        <w:rPr>
          <w:rFonts w:ascii="Arial" w:hAnsi="Arial" w:cs="Arial"/>
          <w:iCs/>
        </w:rPr>
        <w:t xml:space="preserve">ktury dwa egzemplarze </w:t>
      </w:r>
      <w:r w:rsidR="00E12C0B">
        <w:rPr>
          <w:rFonts w:ascii="Arial" w:hAnsi="Arial" w:cs="Arial"/>
          <w:iCs/>
        </w:rPr>
        <w:t>P</w:t>
      </w:r>
      <w:r w:rsidR="00BA749E">
        <w:rPr>
          <w:rFonts w:ascii="Arial" w:hAnsi="Arial" w:cs="Arial"/>
          <w:iCs/>
        </w:rPr>
        <w:t xml:space="preserve">rotokołu odbioru </w:t>
      </w:r>
      <w:r w:rsidR="00E12C0B">
        <w:rPr>
          <w:rFonts w:ascii="Arial" w:hAnsi="Arial" w:cs="Arial"/>
          <w:iCs/>
        </w:rPr>
        <w:t>produktów</w:t>
      </w:r>
      <w:r w:rsidR="00BA749E">
        <w:rPr>
          <w:rFonts w:ascii="Arial" w:hAnsi="Arial" w:cs="Arial"/>
          <w:iCs/>
        </w:rPr>
        <w:t xml:space="preserve"> potwierdzone przez personel Zamawiającego stwierdzający należyte wykonanie dostawy.</w:t>
      </w:r>
    </w:p>
    <w:p w14:paraId="174FF125" w14:textId="666FD92B" w:rsidR="00BA749E" w:rsidRPr="00BA749E" w:rsidRDefault="001D0327" w:rsidP="001D0327">
      <w:pPr>
        <w:widowControl w:val="0"/>
        <w:autoSpaceDE w:val="0"/>
        <w:autoSpaceDN w:val="0"/>
        <w:adjustRightInd w:val="0"/>
        <w:spacing w:after="0" w:line="276" w:lineRule="auto"/>
        <w:ind w:left="284" w:right="2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</w:t>
      </w:r>
      <w:r w:rsidR="00312A84">
        <w:rPr>
          <w:rFonts w:ascii="Arial" w:hAnsi="Arial" w:cs="Arial"/>
          <w:iCs/>
        </w:rPr>
        <w:t xml:space="preserve">. </w:t>
      </w:r>
      <w:r w:rsidR="00BA749E" w:rsidRPr="00BA749E">
        <w:rPr>
          <w:rFonts w:ascii="Arial" w:hAnsi="Arial" w:cs="Arial"/>
          <w:iCs/>
        </w:rPr>
        <w:t>Fakturę za zrealizowane zamówienie, wskazane w ust. 1 Wykonawca dostarczy niezwłocznie, tj. w terminie do 3 dni roboczych po zrealizowaniu dostawy.</w:t>
      </w:r>
    </w:p>
    <w:p w14:paraId="70E2DA87" w14:textId="3173E3C7" w:rsidR="00BA749E" w:rsidRPr="00BA749E" w:rsidRDefault="00312A84" w:rsidP="00312A84">
      <w:pPr>
        <w:widowControl w:val="0"/>
        <w:autoSpaceDE w:val="0"/>
        <w:autoSpaceDN w:val="0"/>
        <w:adjustRightInd w:val="0"/>
        <w:spacing w:after="0" w:line="276" w:lineRule="auto"/>
        <w:ind w:left="284" w:right="2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1D0327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. </w:t>
      </w:r>
      <w:r w:rsidR="00BA749E" w:rsidRPr="00BA749E">
        <w:rPr>
          <w:rFonts w:ascii="Arial" w:hAnsi="Arial" w:cs="Arial"/>
          <w:iCs/>
        </w:rPr>
        <w:t xml:space="preserve">W przypadku doręczenia Zamawiającemu faktury zawierającej błędy, dotyczące jakiejkolwiek pozycji faktury przewidzianych przepisami prawa lub wymaganiami Zamawiającego określonymi w formularzu zamówienia, </w:t>
      </w:r>
      <w:r w:rsidR="00BA749E" w:rsidRPr="00BA749E">
        <w:rPr>
          <w:rFonts w:ascii="Arial" w:hAnsi="Arial" w:cs="Arial"/>
          <w:b/>
          <w:iCs/>
        </w:rPr>
        <w:t>Zamawiający nie będzie zobowiązany do dokonania płatności objętej fakturą do momentu otrzymania od Wykonawcy prawidłowo wystawionej faktury</w:t>
      </w:r>
      <w:r w:rsidR="00BA749E" w:rsidRPr="00BA749E">
        <w:rPr>
          <w:rFonts w:ascii="Arial" w:hAnsi="Arial" w:cs="Arial"/>
          <w:iCs/>
        </w:rPr>
        <w:t>, a Wykonawca nie będzie miał prawa naliczania odsetek za opóźnienia w płatności wynagrodzenia. Wykonawca jest zobowiązany poprawić swoją fakturę poprzez wystawienie faktury korygującej. Strony zgodnie postanawiają, że w takich przypadkach przewidziane formularzem zamówienia terminy, które są liczone od dnia otrzymania faktury biegną od dnia otrzymania faktury korygującej.</w:t>
      </w:r>
    </w:p>
    <w:p w14:paraId="49E64ED3" w14:textId="0F4F99C9" w:rsidR="00BA749E" w:rsidRPr="00BA749E" w:rsidRDefault="00312A84" w:rsidP="00312A84">
      <w:pPr>
        <w:widowControl w:val="0"/>
        <w:autoSpaceDE w:val="0"/>
        <w:autoSpaceDN w:val="0"/>
        <w:adjustRightInd w:val="0"/>
        <w:spacing w:after="0" w:line="276" w:lineRule="auto"/>
        <w:ind w:left="284" w:right="2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1D0327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. </w:t>
      </w:r>
      <w:r w:rsidR="00BA749E" w:rsidRPr="00BA749E">
        <w:rPr>
          <w:rFonts w:ascii="Arial" w:hAnsi="Arial" w:cs="Arial"/>
          <w:iCs/>
        </w:rPr>
        <w:t xml:space="preserve">Wynagrodzenie przysługujące Wykonawcy płatne będzie z rachunku bankowego </w:t>
      </w:r>
      <w:r>
        <w:rPr>
          <w:rFonts w:ascii="Arial" w:hAnsi="Arial" w:cs="Arial"/>
          <w:iCs/>
        </w:rPr>
        <w:t xml:space="preserve"> </w:t>
      </w:r>
      <w:r w:rsidR="00BA749E" w:rsidRPr="00BA749E">
        <w:rPr>
          <w:rFonts w:ascii="Arial" w:hAnsi="Arial" w:cs="Arial"/>
          <w:iCs/>
        </w:rPr>
        <w:t>Zamawiającego na rachunek bankowy Wykonawcy, którego numer zostanie podany w  fakturze.</w:t>
      </w:r>
    </w:p>
    <w:p w14:paraId="236AD024" w14:textId="4526069E" w:rsidR="00BA749E" w:rsidRPr="00BA749E" w:rsidRDefault="00312A84" w:rsidP="00312A84">
      <w:pPr>
        <w:widowControl w:val="0"/>
        <w:autoSpaceDE w:val="0"/>
        <w:autoSpaceDN w:val="0"/>
        <w:adjustRightInd w:val="0"/>
        <w:spacing w:after="0" w:line="276" w:lineRule="auto"/>
        <w:ind w:left="284" w:right="2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1D0327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. </w:t>
      </w:r>
      <w:r w:rsidR="00BA749E" w:rsidRPr="00BA749E">
        <w:rPr>
          <w:rFonts w:ascii="Arial" w:hAnsi="Arial" w:cs="Arial"/>
          <w:iCs/>
        </w:rPr>
        <w:t xml:space="preserve">Zgodnie z przepisami ustawy z dnia 9 listopada 2018 r. o elektronicznym fakturowaniu w  zamówieniach publicznych, koncesjach na roboty budowlane lub usługi oraz partnerstwie publiczno-prywatnym (Dz. U. z 2020 r. poz. 1666 z </w:t>
      </w:r>
      <w:proofErr w:type="spellStart"/>
      <w:r w:rsidR="00BA749E" w:rsidRPr="00BA749E">
        <w:rPr>
          <w:rFonts w:ascii="Arial" w:hAnsi="Arial" w:cs="Arial"/>
          <w:iCs/>
        </w:rPr>
        <w:t>późn</w:t>
      </w:r>
      <w:proofErr w:type="spellEnd"/>
      <w:r w:rsidR="00BA749E" w:rsidRPr="00BA749E">
        <w:rPr>
          <w:rFonts w:ascii="Arial" w:hAnsi="Arial" w:cs="Arial"/>
          <w:iCs/>
        </w:rPr>
        <w:t>. zm.):</w:t>
      </w:r>
    </w:p>
    <w:p w14:paraId="43CB348B" w14:textId="1383FCAA" w:rsidR="00C1537F" w:rsidRDefault="00BA749E" w:rsidP="00312A84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1) Wykonawca ma możliwość wystawiania i wysyłania Zamawiającemu ustrukturyzowanych faktur elektronicznych za pośrednictwem platformy elektronicznego</w:t>
      </w:r>
      <w:r w:rsidR="00312A84">
        <w:rPr>
          <w:rFonts w:ascii="Arial" w:hAnsi="Arial" w:cs="Arial"/>
          <w:iCs/>
        </w:rPr>
        <w:t xml:space="preserve"> fakturowania;</w:t>
      </w:r>
    </w:p>
    <w:p w14:paraId="6CB348EB" w14:textId="77777777" w:rsidR="00312A84" w:rsidRPr="002119B6" w:rsidRDefault="00312A84" w:rsidP="00312A8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134" w:right="2" w:hanging="141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2)  Zamawiający ma obowiązek odbierania od Wykonawcy ustrukturyzowanych faktur elektronicznych za pośrednictwem platformy elektronicznego fakturowania, jeżeli Wykonawca wysłał ustrukturyzowaną fakturę za pośrednictwem tej platformy;</w:t>
      </w:r>
    </w:p>
    <w:p w14:paraId="350163B2" w14:textId="6EC9EE8A" w:rsidR="00312A84" w:rsidRPr="002119B6" w:rsidRDefault="00312A84" w:rsidP="00312A8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134" w:right="2" w:hanging="141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3)</w:t>
      </w:r>
      <w:r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>Zamawiający nie wyraża zgody na wysyłanie i odbieranie innych ustrukturyzowanych dokumentów elektronicznych za pośrednictwem platformy.</w:t>
      </w:r>
    </w:p>
    <w:p w14:paraId="115A751D" w14:textId="77777777" w:rsidR="00312A84" w:rsidRPr="002119B6" w:rsidRDefault="00312A84" w:rsidP="00312A8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633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4)    Usługi platformy elektronicznego fakturowania są świadczone pod adresem: </w:t>
      </w:r>
    </w:p>
    <w:p w14:paraId="564B9E05" w14:textId="272960BC" w:rsidR="00312A84" w:rsidRPr="004E4834" w:rsidRDefault="00312A84" w:rsidP="00312A8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276" w:right="2" w:hanging="91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            </w:t>
      </w:r>
      <w:r w:rsidRPr="002119B6">
        <w:rPr>
          <w:rFonts w:ascii="Arial" w:hAnsi="Arial" w:cs="Arial"/>
          <w:iCs/>
        </w:rPr>
        <w:t xml:space="preserve">https://brokerpefexpert.efaktura.gov.pl  </w:t>
      </w:r>
    </w:p>
    <w:p w14:paraId="03E2CA5B" w14:textId="3D82163E" w:rsidR="00C1537F" w:rsidRPr="00312A84" w:rsidRDefault="00312A84" w:rsidP="00312A8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0327">
        <w:rPr>
          <w:rFonts w:ascii="Arial" w:hAnsi="Arial" w:cs="Arial"/>
        </w:rPr>
        <w:t>4</w:t>
      </w:r>
      <w:r w:rsidR="00FD29E9" w:rsidRPr="00312A84">
        <w:rPr>
          <w:rFonts w:ascii="Arial" w:hAnsi="Arial" w:cs="Arial"/>
        </w:rPr>
        <w:t xml:space="preserve">.  </w:t>
      </w:r>
      <w:r w:rsidR="00C1537F" w:rsidRPr="00312A84">
        <w:rPr>
          <w:rFonts w:ascii="Arial" w:hAnsi="Arial" w:cs="Arial"/>
        </w:rPr>
        <w:t xml:space="preserve">Koszt dostawy ponosi </w:t>
      </w:r>
      <w:r w:rsidR="00FA34E1">
        <w:rPr>
          <w:rFonts w:ascii="Arial" w:hAnsi="Arial" w:cs="Arial"/>
        </w:rPr>
        <w:t>Wykonawca</w:t>
      </w:r>
      <w:r w:rsidR="00AE797A" w:rsidRPr="00312A84">
        <w:rPr>
          <w:rFonts w:ascii="Arial" w:hAnsi="Arial" w:cs="Arial"/>
        </w:rPr>
        <w:t>.</w:t>
      </w:r>
    </w:p>
    <w:p w14:paraId="2E79B504" w14:textId="7A6660E3" w:rsidR="00C1537F" w:rsidRPr="00C1537F" w:rsidRDefault="00312A84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0327">
        <w:rPr>
          <w:rFonts w:ascii="Arial" w:hAnsi="Arial" w:cs="Arial"/>
        </w:rPr>
        <w:t>5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 xml:space="preserve">Wykonanie zakupu </w:t>
      </w:r>
      <w:r w:rsidR="00A20238">
        <w:rPr>
          <w:rFonts w:ascii="Arial" w:hAnsi="Arial" w:cs="Arial"/>
        </w:rPr>
        <w:t>w/w opatrunku</w:t>
      </w:r>
      <w:r w:rsidR="00C1537F" w:rsidRPr="00C1537F">
        <w:rPr>
          <w:rFonts w:ascii="Arial" w:hAnsi="Arial" w:cs="Arial"/>
        </w:rPr>
        <w:t xml:space="preserve"> nastąpi poprzez dostarczenie produkt</w:t>
      </w:r>
      <w:r w:rsidR="00A20238">
        <w:rPr>
          <w:rFonts w:ascii="Arial" w:hAnsi="Arial" w:cs="Arial"/>
        </w:rPr>
        <w:t>u</w:t>
      </w:r>
      <w:r w:rsidR="00C1537F" w:rsidRPr="00C1537F">
        <w:rPr>
          <w:rFonts w:ascii="Arial" w:hAnsi="Arial" w:cs="Arial"/>
        </w:rPr>
        <w:t xml:space="preserve"> do siedziby Zamawiającego:</w:t>
      </w:r>
    </w:p>
    <w:p w14:paraId="0E221786" w14:textId="06B21419" w:rsidR="00C1537F" w:rsidRPr="00FD29E9" w:rsidRDefault="00C1537F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 w:rsidRPr="00C1537F">
        <w:rPr>
          <w:rFonts w:ascii="Arial" w:hAnsi="Arial" w:cs="Arial"/>
          <w:b/>
        </w:rPr>
        <w:t>Oddział Zabezpieczenia JFTC, ul. Szubińska 2, 85-</w:t>
      </w:r>
      <w:r w:rsidR="004E3164">
        <w:rPr>
          <w:rFonts w:ascii="Arial" w:hAnsi="Arial" w:cs="Arial"/>
          <w:b/>
        </w:rPr>
        <w:t>312</w:t>
      </w:r>
      <w:r w:rsidRPr="00C1537F">
        <w:rPr>
          <w:rFonts w:ascii="Arial" w:hAnsi="Arial" w:cs="Arial"/>
          <w:b/>
        </w:rPr>
        <w:t xml:space="preserve"> Bydgoszcz</w:t>
      </w:r>
      <w:r w:rsidRPr="00FD29E9">
        <w:rPr>
          <w:rFonts w:ascii="Arial" w:hAnsi="Arial" w:cs="Arial"/>
          <w:b/>
        </w:rPr>
        <w:t xml:space="preserve"> </w:t>
      </w:r>
    </w:p>
    <w:p w14:paraId="4CED2494" w14:textId="423466FA" w:rsidR="00C1537F" w:rsidRPr="00C1537F" w:rsidRDefault="00312A84" w:rsidP="00FD29E9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0327">
        <w:rPr>
          <w:rFonts w:ascii="Arial" w:hAnsi="Arial" w:cs="Arial"/>
        </w:rPr>
        <w:t>6</w:t>
      </w:r>
      <w:r w:rsidR="00FD29E9">
        <w:rPr>
          <w:rFonts w:ascii="Arial" w:hAnsi="Arial" w:cs="Arial"/>
        </w:rPr>
        <w:t xml:space="preserve">. </w:t>
      </w:r>
      <w:r w:rsidR="00820684">
        <w:rPr>
          <w:rFonts w:ascii="Arial" w:hAnsi="Arial" w:cs="Arial"/>
        </w:rPr>
        <w:t xml:space="preserve"> </w:t>
      </w:r>
      <w:r w:rsidR="00C1537F" w:rsidRPr="00C1537F">
        <w:rPr>
          <w:rFonts w:ascii="Arial" w:hAnsi="Arial" w:cs="Arial"/>
        </w:rPr>
        <w:t>Termin dokonania dostawy:</w:t>
      </w:r>
    </w:p>
    <w:p w14:paraId="00B85277" w14:textId="662210CA" w:rsidR="004D3628" w:rsidRDefault="00E87986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3E7ECB">
        <w:rPr>
          <w:rFonts w:ascii="Arial" w:hAnsi="Arial" w:cs="Arial"/>
          <w:b/>
        </w:rPr>
        <w:t>1</w:t>
      </w:r>
      <w:r w:rsidR="00BA749E">
        <w:rPr>
          <w:rFonts w:ascii="Arial" w:hAnsi="Arial" w:cs="Arial"/>
          <w:b/>
        </w:rPr>
        <w:t>2</w:t>
      </w:r>
      <w:r w:rsidR="00C1537F" w:rsidRPr="00C1537F">
        <w:rPr>
          <w:rFonts w:ascii="Arial" w:hAnsi="Arial" w:cs="Arial"/>
          <w:b/>
        </w:rPr>
        <w:t xml:space="preserve"> dni</w:t>
      </w:r>
      <w:r w:rsidR="003E7ECB">
        <w:rPr>
          <w:rFonts w:ascii="Arial" w:hAnsi="Arial" w:cs="Arial"/>
          <w:b/>
        </w:rPr>
        <w:t xml:space="preserve"> roboczych</w:t>
      </w:r>
      <w:r w:rsidR="00C1537F" w:rsidRPr="00C1537F">
        <w:rPr>
          <w:rFonts w:ascii="Arial" w:hAnsi="Arial" w:cs="Arial"/>
          <w:b/>
        </w:rPr>
        <w:t xml:space="preserve"> po otrzymaniu</w:t>
      </w:r>
      <w:r w:rsidR="00BC277E">
        <w:rPr>
          <w:rFonts w:ascii="Arial" w:hAnsi="Arial" w:cs="Arial"/>
          <w:b/>
        </w:rPr>
        <w:t xml:space="preserve"> podpisanego</w:t>
      </w:r>
      <w:r w:rsidR="00C1537F" w:rsidRPr="00C1537F">
        <w:rPr>
          <w:rFonts w:ascii="Arial" w:hAnsi="Arial" w:cs="Arial"/>
          <w:b/>
        </w:rPr>
        <w:t xml:space="preserve"> formularza zamówienia.</w:t>
      </w:r>
    </w:p>
    <w:p w14:paraId="5CBF8148" w14:textId="36D980EC" w:rsidR="004D3628" w:rsidRPr="004D3628" w:rsidRDefault="005333AA" w:rsidP="00820684">
      <w:pPr>
        <w:pStyle w:val="Akapitzlist"/>
        <w:spacing w:after="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0327">
        <w:rPr>
          <w:rFonts w:ascii="Arial" w:hAnsi="Arial" w:cs="Arial"/>
        </w:rPr>
        <w:t>7</w:t>
      </w:r>
      <w:r w:rsidR="00FD29E9">
        <w:rPr>
          <w:rFonts w:ascii="Arial" w:hAnsi="Arial" w:cs="Arial"/>
        </w:rPr>
        <w:t xml:space="preserve">. </w:t>
      </w:r>
      <w:r w:rsidR="00820684">
        <w:rPr>
          <w:rFonts w:ascii="Arial" w:hAnsi="Arial" w:cs="Arial"/>
        </w:rPr>
        <w:t xml:space="preserve"> </w:t>
      </w:r>
      <w:r w:rsidR="004D3628" w:rsidRPr="004D3628">
        <w:rPr>
          <w:rFonts w:ascii="Arial" w:hAnsi="Arial" w:cs="Arial"/>
        </w:rPr>
        <w:t xml:space="preserve">Instrukcja </w:t>
      </w:r>
      <w:r w:rsidR="004D3628">
        <w:rPr>
          <w:rFonts w:ascii="Arial" w:hAnsi="Arial" w:cs="Arial"/>
        </w:rPr>
        <w:t xml:space="preserve">w języku polskim dostarczona wraz z wyrobem. </w:t>
      </w:r>
    </w:p>
    <w:p w14:paraId="6F2B6438" w14:textId="48EB0A81" w:rsidR="00240EE9" w:rsidRDefault="00820684" w:rsidP="00820684">
      <w:pPr>
        <w:pStyle w:val="Akapitzlis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0327">
        <w:rPr>
          <w:rFonts w:ascii="Arial" w:hAnsi="Arial" w:cs="Arial"/>
        </w:rPr>
        <w:t>8</w:t>
      </w:r>
      <w:r w:rsidR="00FD29E9">
        <w:rPr>
          <w:rFonts w:ascii="Arial" w:hAnsi="Arial" w:cs="Arial"/>
        </w:rPr>
        <w:t xml:space="preserve">. </w:t>
      </w:r>
      <w:r w:rsidR="00240EE9" w:rsidRPr="004D3628">
        <w:rPr>
          <w:rFonts w:ascii="Arial" w:hAnsi="Arial" w:cs="Arial"/>
        </w:rPr>
        <w:t>W przypadku braku</w:t>
      </w:r>
      <w:r w:rsidR="00A20238">
        <w:rPr>
          <w:rFonts w:ascii="Arial" w:hAnsi="Arial" w:cs="Arial"/>
        </w:rPr>
        <w:t xml:space="preserve"> ilości w/w</w:t>
      </w:r>
      <w:r w:rsidR="00240EE9" w:rsidRPr="004D3628">
        <w:rPr>
          <w:rFonts w:ascii="Arial" w:hAnsi="Arial" w:cs="Arial"/>
        </w:rPr>
        <w:t xml:space="preserve"> produkt</w:t>
      </w:r>
      <w:r w:rsidR="00A20238">
        <w:rPr>
          <w:rFonts w:ascii="Arial" w:hAnsi="Arial" w:cs="Arial"/>
        </w:rPr>
        <w:t>u</w:t>
      </w:r>
      <w:r w:rsidR="00240EE9" w:rsidRPr="004D3628">
        <w:rPr>
          <w:rFonts w:ascii="Arial" w:hAnsi="Arial" w:cs="Arial"/>
        </w:rPr>
        <w:t xml:space="preserve"> i konieczności sprowadzenia </w:t>
      </w:r>
      <w:r w:rsidR="00A20238">
        <w:rPr>
          <w:rFonts w:ascii="Arial" w:hAnsi="Arial" w:cs="Arial"/>
        </w:rPr>
        <w:t>go</w:t>
      </w:r>
      <w:r w:rsidR="00240EE9" w:rsidRPr="004D3628">
        <w:rPr>
          <w:rFonts w:ascii="Arial" w:hAnsi="Arial" w:cs="Arial"/>
        </w:rPr>
        <w:t xml:space="preserve"> dopuszcza się wydłużenie terminu realizacji zamówienia po uprzednim uz</w:t>
      </w:r>
      <w:r w:rsidR="00201642">
        <w:rPr>
          <w:rFonts w:ascii="Arial" w:hAnsi="Arial" w:cs="Arial"/>
        </w:rPr>
        <w:t>godnieniu mailowym</w:t>
      </w:r>
      <w:r w:rsidR="00240EE9" w:rsidRPr="004D3628">
        <w:rPr>
          <w:rFonts w:ascii="Arial" w:hAnsi="Arial" w:cs="Arial"/>
        </w:rPr>
        <w:t xml:space="preserve"> tego faktu z Zamawiającym. </w:t>
      </w:r>
    </w:p>
    <w:p w14:paraId="046DB43E" w14:textId="55201B97" w:rsidR="00240EE9" w:rsidRDefault="00820684" w:rsidP="00820684">
      <w:pPr>
        <w:pStyle w:val="Akapitzlis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0327">
        <w:rPr>
          <w:rFonts w:ascii="Arial" w:hAnsi="Arial" w:cs="Arial"/>
        </w:rPr>
        <w:t>9</w:t>
      </w:r>
      <w:r w:rsidR="00FD29E9">
        <w:rPr>
          <w:rFonts w:ascii="Arial" w:hAnsi="Arial" w:cs="Arial"/>
        </w:rPr>
        <w:t xml:space="preserve">. </w:t>
      </w:r>
      <w:r w:rsidR="006C1679">
        <w:rPr>
          <w:rFonts w:ascii="Arial" w:hAnsi="Arial" w:cs="Arial"/>
        </w:rPr>
        <w:t>W przypadku nie rozpoczęcia realizacji zamówienia w wyznaczonym terminie, nie wykonanie lub nienależytego wykonania zamówienia, Zamawiający odstąpi w całości lub w części od umowy</w:t>
      </w:r>
      <w:r w:rsidR="00721794">
        <w:rPr>
          <w:rFonts w:ascii="Arial" w:hAnsi="Arial" w:cs="Arial"/>
        </w:rPr>
        <w:t>.</w:t>
      </w:r>
    </w:p>
    <w:p w14:paraId="29015195" w14:textId="66664423" w:rsidR="00721794" w:rsidRDefault="00721794" w:rsidP="00721794">
      <w:pPr>
        <w:pStyle w:val="Akapitzlis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20. Osoby do kontaktu: lek. Małgorzata SZARUGA               tel. 261 419 751;</w:t>
      </w:r>
    </w:p>
    <w:p w14:paraId="424E58EC" w14:textId="446DA968" w:rsidR="00721794" w:rsidRDefault="00721794" w:rsidP="00721794">
      <w:pPr>
        <w:pStyle w:val="Akapitzlist"/>
        <w:spacing w:line="276" w:lineRule="auto"/>
        <w:ind w:left="426" w:firstLine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st. piel. Renata MATUSZAK              tel. 261 419 751;</w:t>
      </w:r>
    </w:p>
    <w:p w14:paraId="1E800370" w14:textId="5ACD3A44" w:rsidR="00721794" w:rsidRPr="00721794" w:rsidRDefault="00721794" w:rsidP="00721794">
      <w:pPr>
        <w:pStyle w:val="Akapitzlist"/>
        <w:spacing w:line="276" w:lineRule="auto"/>
        <w:ind w:left="426" w:firstLine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st. piel. Małgorzata SZWARC            tel. 261 419 751.</w:t>
      </w:r>
    </w:p>
    <w:sectPr w:rsidR="00721794" w:rsidRPr="00721794" w:rsidSect="000415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284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3550" w14:textId="77777777" w:rsidR="003C4B67" w:rsidRDefault="003C4B67" w:rsidP="00542576">
      <w:pPr>
        <w:spacing w:after="0" w:line="240" w:lineRule="auto"/>
      </w:pPr>
      <w:r>
        <w:separator/>
      </w:r>
    </w:p>
  </w:endnote>
  <w:endnote w:type="continuationSeparator" w:id="0">
    <w:p w14:paraId="33623748" w14:textId="77777777" w:rsidR="003C4B67" w:rsidRDefault="003C4B67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E657" w14:textId="77777777" w:rsidR="00A15C7C" w:rsidRDefault="00A15C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04ED2F6C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7C">
          <w:rPr>
            <w:noProof/>
          </w:rPr>
          <w:t>1</w:t>
        </w:r>
        <w:r>
          <w:fldChar w:fldCharType="end"/>
        </w:r>
        <w:r w:rsidR="003E28E4">
          <w:t xml:space="preserve"> z </w:t>
        </w:r>
        <w:r w:rsidR="0069020A">
          <w:t>3</w:t>
        </w:r>
      </w:p>
      <w:p w14:paraId="2D09A714" w14:textId="368AF3CD" w:rsidR="00542576" w:rsidRDefault="00A15C7C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8600" w14:textId="77777777" w:rsidR="00A15C7C" w:rsidRDefault="00A15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3B6A" w14:textId="77777777" w:rsidR="003C4B67" w:rsidRDefault="003C4B67" w:rsidP="00542576">
      <w:pPr>
        <w:spacing w:after="0" w:line="240" w:lineRule="auto"/>
      </w:pPr>
      <w:r>
        <w:separator/>
      </w:r>
    </w:p>
  </w:footnote>
  <w:footnote w:type="continuationSeparator" w:id="0">
    <w:p w14:paraId="600CD4A4" w14:textId="77777777" w:rsidR="003C4B67" w:rsidRDefault="003C4B67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DD46" w14:textId="77777777" w:rsidR="00A15C7C" w:rsidRDefault="00A15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0A83" w14:textId="44829767" w:rsidR="003864D9" w:rsidRPr="007545E2" w:rsidRDefault="0004150F" w:rsidP="00F80198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 </w:t>
    </w:r>
    <w:r w:rsidR="00342F1A">
      <w:rPr>
        <w:rFonts w:ascii="Arial" w:hAnsi="Arial" w:cs="Arial"/>
        <w:color w:val="000000" w:themeColor="text1"/>
        <w:sz w:val="20"/>
        <w:szCs w:val="20"/>
      </w:rPr>
      <w:t>z</w:t>
    </w:r>
    <w:r w:rsidR="003864D9">
      <w:rPr>
        <w:rFonts w:ascii="Arial" w:hAnsi="Arial" w:cs="Arial"/>
        <w:color w:val="000000" w:themeColor="text1"/>
        <w:sz w:val="20"/>
        <w:szCs w:val="20"/>
      </w:rPr>
      <w:t xml:space="preserve">ałącznik nr </w:t>
    </w:r>
    <w:r w:rsidR="00A15C7C">
      <w:rPr>
        <w:rFonts w:ascii="Arial" w:hAnsi="Arial" w:cs="Arial"/>
        <w:color w:val="000000" w:themeColor="text1"/>
        <w:sz w:val="20"/>
        <w:szCs w:val="20"/>
      </w:rPr>
      <w:t>2</w:t>
    </w:r>
    <w:bookmarkStart w:id="2" w:name="_GoBack"/>
    <w:bookmarkEnd w:id="2"/>
    <w:r w:rsidR="003864D9" w:rsidRPr="007545E2">
      <w:rPr>
        <w:rFonts w:ascii="Arial" w:hAnsi="Arial" w:cs="Arial"/>
        <w:color w:val="000000" w:themeColor="text1"/>
        <w:sz w:val="20"/>
        <w:szCs w:val="20"/>
      </w:rPr>
      <w:t xml:space="preserve"> do</w:t>
    </w:r>
    <w:r w:rsidR="00342F1A">
      <w:rPr>
        <w:rFonts w:ascii="Arial" w:hAnsi="Arial" w:cs="Arial"/>
        <w:color w:val="000000" w:themeColor="text1"/>
        <w:sz w:val="20"/>
        <w:szCs w:val="20"/>
      </w:rPr>
      <w:t xml:space="preserve"> </w:t>
    </w:r>
    <w:r w:rsidR="00F80198">
      <w:rPr>
        <w:rFonts w:ascii="Arial" w:hAnsi="Arial" w:cs="Arial"/>
        <w:color w:val="000000" w:themeColor="text1"/>
        <w:sz w:val="20"/>
        <w:szCs w:val="20"/>
      </w:rPr>
      <w:t>Zapytania ofertowego</w:t>
    </w:r>
  </w:p>
  <w:p w14:paraId="7A82EEF6" w14:textId="7B6CF430" w:rsidR="00AC7C1A" w:rsidRDefault="00AC7C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9AE3" w14:textId="77777777" w:rsidR="00A15C7C" w:rsidRDefault="00A15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1866A4"/>
    <w:multiLevelType w:val="hybridMultilevel"/>
    <w:tmpl w:val="C7CC6648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9317A0"/>
    <w:multiLevelType w:val="hybridMultilevel"/>
    <w:tmpl w:val="1D627870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9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15141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7"/>
  </w:num>
  <w:num w:numId="5">
    <w:abstractNumId w:val="2"/>
  </w:num>
  <w:num w:numId="6">
    <w:abstractNumId w:val="37"/>
  </w:num>
  <w:num w:numId="7">
    <w:abstractNumId w:val="36"/>
  </w:num>
  <w:num w:numId="8">
    <w:abstractNumId w:val="39"/>
  </w:num>
  <w:num w:numId="9">
    <w:abstractNumId w:val="14"/>
  </w:num>
  <w:num w:numId="10">
    <w:abstractNumId w:val="45"/>
  </w:num>
  <w:num w:numId="11">
    <w:abstractNumId w:val="20"/>
  </w:num>
  <w:num w:numId="12">
    <w:abstractNumId w:val="4"/>
  </w:num>
  <w:num w:numId="13">
    <w:abstractNumId w:val="43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5"/>
  </w:num>
  <w:num w:numId="20">
    <w:abstractNumId w:val="46"/>
  </w:num>
  <w:num w:numId="21">
    <w:abstractNumId w:val="35"/>
  </w:num>
  <w:num w:numId="22">
    <w:abstractNumId w:val="29"/>
  </w:num>
  <w:num w:numId="23">
    <w:abstractNumId w:val="11"/>
  </w:num>
  <w:num w:numId="24">
    <w:abstractNumId w:val="8"/>
  </w:num>
  <w:num w:numId="25">
    <w:abstractNumId w:val="38"/>
  </w:num>
  <w:num w:numId="26">
    <w:abstractNumId w:val="42"/>
  </w:num>
  <w:num w:numId="27">
    <w:abstractNumId w:val="26"/>
  </w:num>
  <w:num w:numId="28">
    <w:abstractNumId w:val="30"/>
  </w:num>
  <w:num w:numId="29">
    <w:abstractNumId w:val="32"/>
  </w:num>
  <w:num w:numId="30">
    <w:abstractNumId w:val="27"/>
  </w:num>
  <w:num w:numId="31">
    <w:abstractNumId w:val="31"/>
  </w:num>
  <w:num w:numId="32">
    <w:abstractNumId w:val="7"/>
  </w:num>
  <w:num w:numId="33">
    <w:abstractNumId w:val="33"/>
  </w:num>
  <w:num w:numId="34">
    <w:abstractNumId w:val="40"/>
  </w:num>
  <w:num w:numId="35">
    <w:abstractNumId w:val="25"/>
  </w:num>
  <w:num w:numId="36">
    <w:abstractNumId w:val="28"/>
  </w:num>
  <w:num w:numId="37">
    <w:abstractNumId w:val="6"/>
  </w:num>
  <w:num w:numId="38">
    <w:abstractNumId w:val="0"/>
  </w:num>
  <w:num w:numId="39">
    <w:abstractNumId w:val="24"/>
  </w:num>
  <w:num w:numId="40">
    <w:abstractNumId w:val="22"/>
  </w:num>
  <w:num w:numId="41">
    <w:abstractNumId w:val="15"/>
  </w:num>
  <w:num w:numId="42">
    <w:abstractNumId w:val="19"/>
  </w:num>
  <w:num w:numId="43">
    <w:abstractNumId w:val="32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9"/>
  </w:num>
  <w:num w:numId="46">
    <w:abstractNumId w:val="16"/>
  </w:num>
  <w:num w:numId="47">
    <w:abstractNumId w:val="2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1478E"/>
    <w:rsid w:val="00014BFA"/>
    <w:rsid w:val="00021385"/>
    <w:rsid w:val="00021B02"/>
    <w:rsid w:val="00022F86"/>
    <w:rsid w:val="00025688"/>
    <w:rsid w:val="00025DE8"/>
    <w:rsid w:val="0003158A"/>
    <w:rsid w:val="00036728"/>
    <w:rsid w:val="0004150F"/>
    <w:rsid w:val="00063BD2"/>
    <w:rsid w:val="0008653C"/>
    <w:rsid w:val="000957D9"/>
    <w:rsid w:val="000A7493"/>
    <w:rsid w:val="000B18E3"/>
    <w:rsid w:val="000C65CA"/>
    <w:rsid w:val="000D17F4"/>
    <w:rsid w:val="000F03A3"/>
    <w:rsid w:val="000F17C4"/>
    <w:rsid w:val="000F1B39"/>
    <w:rsid w:val="000F49E6"/>
    <w:rsid w:val="00122A99"/>
    <w:rsid w:val="00143486"/>
    <w:rsid w:val="00143D08"/>
    <w:rsid w:val="00144662"/>
    <w:rsid w:val="00146F80"/>
    <w:rsid w:val="001673C3"/>
    <w:rsid w:val="00177429"/>
    <w:rsid w:val="001878FD"/>
    <w:rsid w:val="001C07AC"/>
    <w:rsid w:val="001C75A3"/>
    <w:rsid w:val="001D0327"/>
    <w:rsid w:val="001E7329"/>
    <w:rsid w:val="001F0B67"/>
    <w:rsid w:val="001F1D52"/>
    <w:rsid w:val="00200E6F"/>
    <w:rsid w:val="00201642"/>
    <w:rsid w:val="0020223E"/>
    <w:rsid w:val="00212C03"/>
    <w:rsid w:val="00215216"/>
    <w:rsid w:val="00217999"/>
    <w:rsid w:val="00230D04"/>
    <w:rsid w:val="00233190"/>
    <w:rsid w:val="00240EE9"/>
    <w:rsid w:val="00243E1A"/>
    <w:rsid w:val="00266DFD"/>
    <w:rsid w:val="00272A63"/>
    <w:rsid w:val="0028447A"/>
    <w:rsid w:val="00286950"/>
    <w:rsid w:val="002A1AC0"/>
    <w:rsid w:val="002A3B24"/>
    <w:rsid w:val="002A3FB6"/>
    <w:rsid w:val="002B3D27"/>
    <w:rsid w:val="002C0A41"/>
    <w:rsid w:val="002C0A9B"/>
    <w:rsid w:val="002E6E18"/>
    <w:rsid w:val="00305632"/>
    <w:rsid w:val="00305BAE"/>
    <w:rsid w:val="00312A84"/>
    <w:rsid w:val="00313409"/>
    <w:rsid w:val="0031370D"/>
    <w:rsid w:val="0032072F"/>
    <w:rsid w:val="00330549"/>
    <w:rsid w:val="00342F1A"/>
    <w:rsid w:val="0036035B"/>
    <w:rsid w:val="00365ADA"/>
    <w:rsid w:val="0036610C"/>
    <w:rsid w:val="00370E93"/>
    <w:rsid w:val="003858A5"/>
    <w:rsid w:val="00385FBB"/>
    <w:rsid w:val="003864D9"/>
    <w:rsid w:val="003911DF"/>
    <w:rsid w:val="0039383D"/>
    <w:rsid w:val="0039387F"/>
    <w:rsid w:val="003C2C64"/>
    <w:rsid w:val="003C4B67"/>
    <w:rsid w:val="003C4F2B"/>
    <w:rsid w:val="003D1261"/>
    <w:rsid w:val="003E28E4"/>
    <w:rsid w:val="003E68FC"/>
    <w:rsid w:val="003E7ECB"/>
    <w:rsid w:val="003F2004"/>
    <w:rsid w:val="003F5CF1"/>
    <w:rsid w:val="00413D8E"/>
    <w:rsid w:val="00422004"/>
    <w:rsid w:val="004222AA"/>
    <w:rsid w:val="004629A1"/>
    <w:rsid w:val="00462A5E"/>
    <w:rsid w:val="00463BB3"/>
    <w:rsid w:val="00493670"/>
    <w:rsid w:val="00496C8E"/>
    <w:rsid w:val="004A19E7"/>
    <w:rsid w:val="004A33E6"/>
    <w:rsid w:val="004A4BC4"/>
    <w:rsid w:val="004A58C4"/>
    <w:rsid w:val="004D0A86"/>
    <w:rsid w:val="004D3628"/>
    <w:rsid w:val="004D4CD6"/>
    <w:rsid w:val="004D6A93"/>
    <w:rsid w:val="004E3164"/>
    <w:rsid w:val="004F0684"/>
    <w:rsid w:val="004F0BF0"/>
    <w:rsid w:val="00513E7F"/>
    <w:rsid w:val="00527E29"/>
    <w:rsid w:val="005333AA"/>
    <w:rsid w:val="00540773"/>
    <w:rsid w:val="00542576"/>
    <w:rsid w:val="00542EEB"/>
    <w:rsid w:val="00545ABD"/>
    <w:rsid w:val="00555BE7"/>
    <w:rsid w:val="00586BF7"/>
    <w:rsid w:val="00594EB0"/>
    <w:rsid w:val="00595986"/>
    <w:rsid w:val="005A0E63"/>
    <w:rsid w:val="005A2023"/>
    <w:rsid w:val="005C28D8"/>
    <w:rsid w:val="005C5819"/>
    <w:rsid w:val="005D6799"/>
    <w:rsid w:val="005D6C81"/>
    <w:rsid w:val="005E61C5"/>
    <w:rsid w:val="005E7DE7"/>
    <w:rsid w:val="00600EC4"/>
    <w:rsid w:val="0060212F"/>
    <w:rsid w:val="00604A8C"/>
    <w:rsid w:val="006108AA"/>
    <w:rsid w:val="006121C8"/>
    <w:rsid w:val="0064020B"/>
    <w:rsid w:val="00655E6F"/>
    <w:rsid w:val="0066795F"/>
    <w:rsid w:val="00670CA9"/>
    <w:rsid w:val="00686AB3"/>
    <w:rsid w:val="0069020A"/>
    <w:rsid w:val="006A22AB"/>
    <w:rsid w:val="006A3122"/>
    <w:rsid w:val="006A4458"/>
    <w:rsid w:val="006B4AD3"/>
    <w:rsid w:val="006B55C5"/>
    <w:rsid w:val="006B63DE"/>
    <w:rsid w:val="006C1679"/>
    <w:rsid w:val="006E2F59"/>
    <w:rsid w:val="0071135D"/>
    <w:rsid w:val="007118FA"/>
    <w:rsid w:val="00721794"/>
    <w:rsid w:val="00736594"/>
    <w:rsid w:val="0074071D"/>
    <w:rsid w:val="007426AD"/>
    <w:rsid w:val="00746B00"/>
    <w:rsid w:val="00757F79"/>
    <w:rsid w:val="00763828"/>
    <w:rsid w:val="007670B1"/>
    <w:rsid w:val="00795D4F"/>
    <w:rsid w:val="007A13B3"/>
    <w:rsid w:val="007A25C5"/>
    <w:rsid w:val="007B2D11"/>
    <w:rsid w:val="007B5260"/>
    <w:rsid w:val="007B654D"/>
    <w:rsid w:val="007E01F3"/>
    <w:rsid w:val="007E7060"/>
    <w:rsid w:val="007F12BF"/>
    <w:rsid w:val="007F4085"/>
    <w:rsid w:val="00806335"/>
    <w:rsid w:val="00820684"/>
    <w:rsid w:val="008244EF"/>
    <w:rsid w:val="00850C25"/>
    <w:rsid w:val="00851502"/>
    <w:rsid w:val="00852805"/>
    <w:rsid w:val="008535AE"/>
    <w:rsid w:val="00857A2A"/>
    <w:rsid w:val="008603FA"/>
    <w:rsid w:val="00862925"/>
    <w:rsid w:val="008746E3"/>
    <w:rsid w:val="0089390D"/>
    <w:rsid w:val="008A4860"/>
    <w:rsid w:val="008A7BDF"/>
    <w:rsid w:val="008B302D"/>
    <w:rsid w:val="008B453B"/>
    <w:rsid w:val="008D50F4"/>
    <w:rsid w:val="008E22AD"/>
    <w:rsid w:val="008E6FEF"/>
    <w:rsid w:val="0090128C"/>
    <w:rsid w:val="009112E7"/>
    <w:rsid w:val="00917646"/>
    <w:rsid w:val="009223D9"/>
    <w:rsid w:val="00924098"/>
    <w:rsid w:val="009305F4"/>
    <w:rsid w:val="009341AA"/>
    <w:rsid w:val="00936171"/>
    <w:rsid w:val="009504A8"/>
    <w:rsid w:val="00961C89"/>
    <w:rsid w:val="009621E2"/>
    <w:rsid w:val="0097740B"/>
    <w:rsid w:val="0098646E"/>
    <w:rsid w:val="00994ECB"/>
    <w:rsid w:val="009A0834"/>
    <w:rsid w:val="009A1A5F"/>
    <w:rsid w:val="009B0F4C"/>
    <w:rsid w:val="009C5AC2"/>
    <w:rsid w:val="009D0E5B"/>
    <w:rsid w:val="009E03FA"/>
    <w:rsid w:val="009E1E57"/>
    <w:rsid w:val="009E2663"/>
    <w:rsid w:val="00A13E54"/>
    <w:rsid w:val="00A15C7C"/>
    <w:rsid w:val="00A16097"/>
    <w:rsid w:val="00A20238"/>
    <w:rsid w:val="00A2654E"/>
    <w:rsid w:val="00A5220E"/>
    <w:rsid w:val="00A75F3C"/>
    <w:rsid w:val="00A94466"/>
    <w:rsid w:val="00AB77A7"/>
    <w:rsid w:val="00AC1D94"/>
    <w:rsid w:val="00AC67CF"/>
    <w:rsid w:val="00AC7C1A"/>
    <w:rsid w:val="00AD236A"/>
    <w:rsid w:val="00AD5F9D"/>
    <w:rsid w:val="00AD6D2F"/>
    <w:rsid w:val="00AE797A"/>
    <w:rsid w:val="00B1682A"/>
    <w:rsid w:val="00B16D64"/>
    <w:rsid w:val="00B4194A"/>
    <w:rsid w:val="00B54F2E"/>
    <w:rsid w:val="00B6058E"/>
    <w:rsid w:val="00B66928"/>
    <w:rsid w:val="00B75BDC"/>
    <w:rsid w:val="00B83B5D"/>
    <w:rsid w:val="00B929E0"/>
    <w:rsid w:val="00BA749E"/>
    <w:rsid w:val="00BC277E"/>
    <w:rsid w:val="00BC2B2F"/>
    <w:rsid w:val="00BE5F1D"/>
    <w:rsid w:val="00C00374"/>
    <w:rsid w:val="00C12632"/>
    <w:rsid w:val="00C1537F"/>
    <w:rsid w:val="00C15EDC"/>
    <w:rsid w:val="00C46AE4"/>
    <w:rsid w:val="00C5329A"/>
    <w:rsid w:val="00C827EA"/>
    <w:rsid w:val="00C845BF"/>
    <w:rsid w:val="00C9448C"/>
    <w:rsid w:val="00C9540A"/>
    <w:rsid w:val="00CC4CA5"/>
    <w:rsid w:val="00CD571C"/>
    <w:rsid w:val="00CE66BA"/>
    <w:rsid w:val="00CF76E2"/>
    <w:rsid w:val="00D157CD"/>
    <w:rsid w:val="00D30FC0"/>
    <w:rsid w:val="00D5074B"/>
    <w:rsid w:val="00D74148"/>
    <w:rsid w:val="00D86685"/>
    <w:rsid w:val="00D873F5"/>
    <w:rsid w:val="00D92B08"/>
    <w:rsid w:val="00DA28BF"/>
    <w:rsid w:val="00DA765C"/>
    <w:rsid w:val="00DD4F19"/>
    <w:rsid w:val="00DD6CAB"/>
    <w:rsid w:val="00DD7196"/>
    <w:rsid w:val="00DF069C"/>
    <w:rsid w:val="00E03270"/>
    <w:rsid w:val="00E05C10"/>
    <w:rsid w:val="00E113BE"/>
    <w:rsid w:val="00E12C0B"/>
    <w:rsid w:val="00E24EFF"/>
    <w:rsid w:val="00E30FCA"/>
    <w:rsid w:val="00E34374"/>
    <w:rsid w:val="00E4307C"/>
    <w:rsid w:val="00E439FA"/>
    <w:rsid w:val="00E60A9F"/>
    <w:rsid w:val="00E66653"/>
    <w:rsid w:val="00E7629F"/>
    <w:rsid w:val="00E87986"/>
    <w:rsid w:val="00E962AC"/>
    <w:rsid w:val="00EA1E52"/>
    <w:rsid w:val="00EB0965"/>
    <w:rsid w:val="00EC1203"/>
    <w:rsid w:val="00EC1E2A"/>
    <w:rsid w:val="00EC4122"/>
    <w:rsid w:val="00ED2376"/>
    <w:rsid w:val="00EF1A9C"/>
    <w:rsid w:val="00F12D23"/>
    <w:rsid w:val="00F14A91"/>
    <w:rsid w:val="00F152F7"/>
    <w:rsid w:val="00F347EC"/>
    <w:rsid w:val="00F36154"/>
    <w:rsid w:val="00F43B18"/>
    <w:rsid w:val="00F55FA6"/>
    <w:rsid w:val="00F56494"/>
    <w:rsid w:val="00F6127D"/>
    <w:rsid w:val="00F65B2C"/>
    <w:rsid w:val="00F66774"/>
    <w:rsid w:val="00F67609"/>
    <w:rsid w:val="00F74AE5"/>
    <w:rsid w:val="00F80198"/>
    <w:rsid w:val="00F9303E"/>
    <w:rsid w:val="00FA34E1"/>
    <w:rsid w:val="00FA36BA"/>
    <w:rsid w:val="00FA43DF"/>
    <w:rsid w:val="00FB1BA8"/>
    <w:rsid w:val="00FB21B9"/>
    <w:rsid w:val="00FC41C9"/>
    <w:rsid w:val="00FD1464"/>
    <w:rsid w:val="00FD29E9"/>
    <w:rsid w:val="00FD2BE6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2880-FCA9-42C3-8556-F5389F6277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B4E578-89AA-4E06-B60A-AA9BB46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Rapkiewicz-Ziętala Anna</cp:lastModifiedBy>
  <cp:revision>23</cp:revision>
  <cp:lastPrinted>2024-01-23T08:57:00Z</cp:lastPrinted>
  <dcterms:created xsi:type="dcterms:W3CDTF">2025-03-18T12:01:00Z</dcterms:created>
  <dcterms:modified xsi:type="dcterms:W3CDTF">2025-03-28T10:19:00Z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