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1291"/>
        <w:gridCol w:w="3451"/>
      </w:tblGrid>
      <w:tr w:rsidR="002E3E88" w:rsidRPr="00C849D4" w:rsidTr="002E3E88">
        <w:tc>
          <w:tcPr>
            <w:tcW w:w="3492" w:type="dxa"/>
          </w:tcPr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5A13D5" w:rsidRPr="00C849D4" w:rsidTr="002E3E88">
        <w:tc>
          <w:tcPr>
            <w:tcW w:w="9288" w:type="dxa"/>
            <w:gridSpan w:val="3"/>
          </w:tcPr>
          <w:p w:rsidR="0099035D" w:rsidRPr="00297AA6" w:rsidRDefault="0099035D" w:rsidP="00297AA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A6" w:rsidRPr="00297AA6" w:rsidRDefault="00297AA6" w:rsidP="00297AA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AA6">
              <w:rPr>
                <w:rFonts w:ascii="Times New Roman" w:hAnsi="Times New Roman" w:cs="Times New Roman"/>
                <w:sz w:val="20"/>
                <w:szCs w:val="20"/>
              </w:rPr>
              <w:t xml:space="preserve">dotyczy: postępowania prowadzonego w trybie podstawowym bez negocjacji na dostawę sprzętu medycznego: </w:t>
            </w:r>
            <w:proofErr w:type="spellStart"/>
            <w:r w:rsidRPr="00297AA6">
              <w:rPr>
                <w:rFonts w:ascii="Times New Roman" w:hAnsi="Times New Roman" w:cs="Times New Roman"/>
                <w:sz w:val="20"/>
                <w:szCs w:val="20"/>
              </w:rPr>
              <w:t>wideolaryngoskopu</w:t>
            </w:r>
            <w:proofErr w:type="spellEnd"/>
            <w:r w:rsidRPr="00297AA6">
              <w:rPr>
                <w:rFonts w:ascii="Times New Roman" w:hAnsi="Times New Roman" w:cs="Times New Roman"/>
                <w:sz w:val="20"/>
                <w:szCs w:val="20"/>
              </w:rPr>
              <w:t xml:space="preserve"> z wyposażeniem – 1 </w:t>
            </w:r>
            <w:proofErr w:type="spellStart"/>
            <w:r w:rsidRPr="00297AA6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297AA6">
              <w:rPr>
                <w:rFonts w:ascii="Times New Roman" w:hAnsi="Times New Roman" w:cs="Times New Roman"/>
                <w:sz w:val="20"/>
                <w:szCs w:val="20"/>
              </w:rPr>
              <w:t xml:space="preserve"> oraz stołu operacyjnego urologicznego – 1kpl,</w:t>
            </w:r>
          </w:p>
          <w:p w:rsidR="00297AA6" w:rsidRPr="00297AA6" w:rsidRDefault="00297AA6" w:rsidP="00297AA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 sprawy: 4 WSzKzP.SZP.2612.54.2024</w:t>
            </w:r>
          </w:p>
          <w:p w:rsidR="00297AA6" w:rsidRDefault="00297AA6" w:rsidP="00297AA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A6" w:rsidRPr="00C849D4" w:rsidRDefault="00297AA6" w:rsidP="00297AA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Pr="0099035D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0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FORMULARZ CENOWY</w:t>
            </w:r>
          </w:p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Default="00CE2C65" w:rsidP="00CE2C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849D4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  <w:p w:rsidR="00297AA6" w:rsidRDefault="00297AA6" w:rsidP="00CE2C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3132"/>
              <w:gridCol w:w="852"/>
              <w:gridCol w:w="1133"/>
              <w:gridCol w:w="1276"/>
              <w:gridCol w:w="709"/>
              <w:gridCol w:w="1270"/>
            </w:tblGrid>
            <w:tr w:rsidR="00753369" w:rsidRPr="00E447ED" w:rsidTr="00753369">
              <w:trPr>
                <w:trHeight w:val="835"/>
              </w:trPr>
              <w:tc>
                <w:tcPr>
                  <w:tcW w:w="381" w:type="pct"/>
                  <w:shd w:val="clear" w:color="000000" w:fill="C6EFCE"/>
                  <w:vAlign w:val="center"/>
                </w:tcPr>
                <w:p w:rsidR="00297AA6" w:rsidRPr="00E447ED" w:rsidRDefault="00297AA6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1728" w:type="pct"/>
                  <w:shd w:val="clear" w:color="000000" w:fill="C6EFCE"/>
                  <w:vAlign w:val="center"/>
                  <w:hideMark/>
                </w:tcPr>
                <w:p w:rsidR="00297AA6" w:rsidRPr="00E447ED" w:rsidRDefault="00297AA6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Nazwa asortymentu</w:t>
                  </w:r>
                </w:p>
              </w:tc>
              <w:tc>
                <w:tcPr>
                  <w:tcW w:w="470" w:type="pct"/>
                  <w:shd w:val="clear" w:color="000000" w:fill="C6EFCE"/>
                  <w:vAlign w:val="center"/>
                </w:tcPr>
                <w:p w:rsidR="00297AA6" w:rsidRPr="00E447ED" w:rsidRDefault="00297AA6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Ilość [</w:t>
                  </w:r>
                  <w:proofErr w:type="spellStart"/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.]</w:t>
                  </w:r>
                </w:p>
              </w:tc>
              <w:tc>
                <w:tcPr>
                  <w:tcW w:w="625" w:type="pct"/>
                  <w:shd w:val="clear" w:color="000000" w:fill="C6EFCE"/>
                  <w:vAlign w:val="center"/>
                  <w:hideMark/>
                </w:tcPr>
                <w:p w:rsidR="00297AA6" w:rsidRPr="00E447ED" w:rsidRDefault="00753369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wartość</w:t>
                  </w:r>
                  <w:r w:rsidR="00297AA6"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netto /</w:t>
                  </w:r>
                  <w:proofErr w:type="spellStart"/>
                  <w:r w:rsidR="00297AA6"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</w:p>
              </w:tc>
              <w:tc>
                <w:tcPr>
                  <w:tcW w:w="704" w:type="pct"/>
                  <w:shd w:val="clear" w:color="000000" w:fill="C6EFCE"/>
                  <w:vAlign w:val="center"/>
                  <w:hideMark/>
                </w:tcPr>
                <w:p w:rsidR="00297AA6" w:rsidRPr="00E447ED" w:rsidRDefault="00297AA6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suma netto [zł]</w:t>
                  </w:r>
                </w:p>
              </w:tc>
              <w:tc>
                <w:tcPr>
                  <w:tcW w:w="391" w:type="pct"/>
                  <w:shd w:val="clear" w:color="000000" w:fill="C6EFCE"/>
                  <w:vAlign w:val="center"/>
                </w:tcPr>
                <w:p w:rsidR="00297AA6" w:rsidRPr="00E447ED" w:rsidRDefault="00297AA6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VAT</w:t>
                  </w:r>
                  <w:r>
                    <w:rPr>
                      <w:rStyle w:val="Odwoanieprzypisudolnego"/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701" w:type="pct"/>
                  <w:shd w:val="clear" w:color="000000" w:fill="C6EFCE"/>
                  <w:vAlign w:val="center"/>
                  <w:hideMark/>
                </w:tcPr>
                <w:p w:rsidR="00297AA6" w:rsidRPr="00E447ED" w:rsidRDefault="00297AA6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suma brutto</w:t>
                  </w:r>
                </w:p>
                <w:p w:rsidR="00297AA6" w:rsidRPr="00E447ED" w:rsidRDefault="00297AA6" w:rsidP="00297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[zł]</w:t>
                  </w:r>
                </w:p>
              </w:tc>
            </w:tr>
            <w:tr w:rsidR="00297AA6" w:rsidRPr="00E447ED" w:rsidTr="00753369">
              <w:trPr>
                <w:trHeight w:val="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Pakiet nr 1</w:t>
                  </w:r>
                </w:p>
              </w:tc>
            </w:tr>
            <w:tr w:rsidR="00753369" w:rsidRPr="00E447ED" w:rsidTr="00753369">
              <w:trPr>
                <w:trHeight w:val="20"/>
              </w:trPr>
              <w:tc>
                <w:tcPr>
                  <w:tcW w:w="381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728" w:type="pct"/>
                </w:tcPr>
                <w:p w:rsidR="00753369" w:rsidRPr="008C33F7" w:rsidRDefault="00753369" w:rsidP="00753369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8C33F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Wi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deolaryngoskop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z wyposażeniem </w:t>
                  </w: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:rsidR="00753369" w:rsidRPr="003450DA" w:rsidRDefault="00753369" w:rsidP="00753369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 w:rsidRPr="008C33F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 </w:t>
                  </w:r>
                  <w:proofErr w:type="spellStart"/>
                  <w:r w:rsidRPr="008C33F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8C33F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4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91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97AA6" w:rsidRPr="00E447ED" w:rsidTr="00753369">
              <w:trPr>
                <w:trHeight w:val="20"/>
              </w:trPr>
              <w:tc>
                <w:tcPr>
                  <w:tcW w:w="3204" w:type="pct"/>
                  <w:gridSpan w:val="4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Pakiet nr 1</w:t>
                  </w:r>
                </w:p>
              </w:tc>
              <w:tc>
                <w:tcPr>
                  <w:tcW w:w="704" w:type="pct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91" w:type="pct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97AA6" w:rsidRPr="00E447ED" w:rsidTr="00753369">
              <w:trPr>
                <w:trHeight w:val="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Pakiet nr 2</w:t>
                  </w:r>
                </w:p>
              </w:tc>
            </w:tr>
            <w:tr w:rsidR="00753369" w:rsidRPr="00E447ED" w:rsidTr="00753369">
              <w:trPr>
                <w:trHeight w:val="20"/>
              </w:trPr>
              <w:tc>
                <w:tcPr>
                  <w:tcW w:w="381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447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728" w:type="pct"/>
                </w:tcPr>
                <w:p w:rsidR="00753369" w:rsidRDefault="00753369" w:rsidP="00753369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Stół operacyjny urologiczny</w:t>
                  </w:r>
                </w:p>
                <w:p w:rsidR="00753369" w:rsidRPr="008C33F7" w:rsidRDefault="00753369" w:rsidP="00753369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  <w:vAlign w:val="center"/>
                </w:tcPr>
                <w:p w:rsidR="00753369" w:rsidRPr="00E33EC1" w:rsidRDefault="00753369" w:rsidP="00753369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8C33F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 </w:t>
                  </w:r>
                  <w:proofErr w:type="spellStart"/>
                  <w:r w:rsidRPr="008C33F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8C33F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4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91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753369" w:rsidRPr="00E447ED" w:rsidRDefault="00753369" w:rsidP="00753369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97AA6" w:rsidRPr="00E447ED" w:rsidTr="00753369">
              <w:trPr>
                <w:trHeight w:val="20"/>
              </w:trPr>
              <w:tc>
                <w:tcPr>
                  <w:tcW w:w="3204" w:type="pct"/>
                  <w:gridSpan w:val="4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Pakiet nr 2</w:t>
                  </w:r>
                </w:p>
              </w:tc>
              <w:tc>
                <w:tcPr>
                  <w:tcW w:w="704" w:type="pct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91" w:type="pct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297AA6" w:rsidRPr="00E447ED" w:rsidRDefault="00297AA6" w:rsidP="00297AA6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97AA6" w:rsidRDefault="00297AA6" w:rsidP="00CE2C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37F51" w:rsidRDefault="00D37F51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36F" w:rsidRDefault="0029736F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9736F" w:rsidRPr="0029736F" w:rsidTr="0029736F">
              <w:tc>
                <w:tcPr>
                  <w:tcW w:w="5000" w:type="pct"/>
                </w:tcPr>
                <w:p w:rsidR="0029736F" w:rsidRDefault="0029736F" w:rsidP="00CE2C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973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PARAMETRY TECHNICZNE</w:t>
                  </w:r>
                </w:p>
                <w:p w:rsidR="00753369" w:rsidRDefault="00753369" w:rsidP="00CE2C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753369" w:rsidRDefault="00753369" w:rsidP="00CE2C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29736F" w:rsidRPr="0029736F" w:rsidRDefault="0029736F" w:rsidP="00CE2C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</w:pPr>
            <w:r w:rsidRPr="00753369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 xml:space="preserve">Pakiet 1 </w:t>
            </w:r>
            <w:proofErr w:type="spellStart"/>
            <w:r w:rsidRPr="00753369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>Wideolaryngoskop</w:t>
            </w:r>
            <w:proofErr w:type="spellEnd"/>
            <w:r w:rsidRPr="00753369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 xml:space="preserve"> z wyposażeniem – 1 </w:t>
            </w:r>
            <w:proofErr w:type="spellStart"/>
            <w:r w:rsidRPr="00753369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>kpl</w:t>
            </w:r>
            <w:proofErr w:type="spellEnd"/>
            <w:r w:rsidRPr="00753369"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  <w:t>.</w:t>
            </w: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u w:val="single"/>
                <w:lang w:eastAsia="zh-CN"/>
              </w:rPr>
            </w:pP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>Wykonawca:</w:t>
            </w: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>Nazwa i typ:</w:t>
            </w: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>Producent/ Kraj :</w:t>
            </w: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753369" w:rsidRP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>Rok produkcji :</w:t>
            </w:r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ab/>
              <w:t xml:space="preserve">sprzęt fabrycznie nowy, nieużywany, </w:t>
            </w:r>
            <w:proofErr w:type="spellStart"/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>nierekondycjonowany</w:t>
            </w:r>
            <w:proofErr w:type="spellEnd"/>
            <w:r w:rsidRPr="00753369">
              <w:rPr>
                <w:rFonts w:ascii="Times New Roman" w:hAnsi="Times New Roman" w:cs="Times New Roman"/>
                <w:b/>
                <w:bCs/>
                <w:lang w:eastAsia="zh-CN"/>
              </w:rPr>
              <w:t>, nie powystawowy / rok produkcji 2024</w:t>
            </w: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</w:p>
          <w:p w:rsidR="00753369" w:rsidRPr="00CD5E0E" w:rsidRDefault="00753369" w:rsidP="00753369">
            <w:pPr>
              <w:rPr>
                <w:b/>
                <w:bCs/>
                <w:lang w:eastAsia="zh-C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5433"/>
              <w:gridCol w:w="1280"/>
              <w:gridCol w:w="1848"/>
            </w:tblGrid>
            <w:tr w:rsidR="00753369" w:rsidRPr="004105DA" w:rsidTr="00753369">
              <w:trPr>
                <w:cantSplit/>
                <w:trHeight w:val="1559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753369" w:rsidRDefault="00753369" w:rsidP="00753369">
                  <w:pPr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75336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lastRenderedPageBreak/>
                    <w:t>L.P.</w:t>
                  </w:r>
                </w:p>
              </w:tc>
              <w:tc>
                <w:tcPr>
                  <w:tcW w:w="3022" w:type="pct"/>
                  <w:shd w:val="clear" w:color="auto" w:fill="auto"/>
                  <w:vAlign w:val="center"/>
                </w:tcPr>
                <w:p w:rsidR="00753369" w:rsidRPr="00753369" w:rsidRDefault="00753369" w:rsidP="00753369">
                  <w:pPr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75336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t xml:space="preserve">PARAMETRY TECHNICZNE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753369" w:rsidRPr="00753369" w:rsidRDefault="00753369" w:rsidP="00753369">
                  <w:pPr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75336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t>PARAMETR WYMAGANY</w:t>
                  </w:r>
                  <w:r>
                    <w:rPr>
                      <w:rStyle w:val="Odwoanieprzypisudolnego"/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zh-CN"/>
                    </w:rPr>
                    <w:footnoteReference w:id="2"/>
                  </w:r>
                </w:p>
              </w:tc>
              <w:tc>
                <w:tcPr>
                  <w:tcW w:w="1044" w:type="pct"/>
                  <w:vAlign w:val="center"/>
                </w:tcPr>
                <w:p w:rsidR="00753369" w:rsidRPr="00753369" w:rsidRDefault="00753369" w:rsidP="0075336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533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PARAMETRY OFEROWANE/ </w:t>
                  </w:r>
                  <w:r w:rsidRPr="007533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  <w:t>NR STRONY W MATERIAŁACH INFORMACYJNYCH DOŁĄCZONYCH DO OFERTY</w:t>
                  </w: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D9D9D9" w:themeFill="background1" w:themeFillShade="D9"/>
                  <w:vAlign w:val="center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F4C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3022" w:type="pct"/>
                  <w:shd w:val="clear" w:color="auto" w:fill="D9D9D9" w:themeFill="background1" w:themeFillShade="D9"/>
                  <w:vAlign w:val="center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F4C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PARAMETRY OGÓLNE </w:t>
                  </w:r>
                </w:p>
              </w:tc>
              <w:tc>
                <w:tcPr>
                  <w:tcW w:w="667" w:type="pct"/>
                  <w:shd w:val="clear" w:color="auto" w:fill="D9D9D9" w:themeFill="background1" w:themeFillShade="D9"/>
                  <w:vAlign w:val="center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4" w:type="pct"/>
                  <w:shd w:val="clear" w:color="auto" w:fill="D9D9D9" w:themeFill="background1" w:themeFillShade="D9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E5DFEC" w:themeFill="accent4" w:themeFillTint="33"/>
                  <w:vAlign w:val="center"/>
                </w:tcPr>
                <w:p w:rsidR="00753369" w:rsidRPr="00DF7D24" w:rsidRDefault="00753369" w:rsidP="00753369">
                  <w:pPr>
                    <w:suppressAutoHyphens/>
                    <w:ind w:left="174"/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  <w:t>I</w:t>
                  </w: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pl"/>
                    </w:rPr>
                    <w:t xml:space="preserve">Przenośny monitor do podłączania </w:t>
                  </w:r>
                  <w:proofErr w:type="spellStart"/>
                  <w:r w:rsidRPr="00DF7D2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ów - 1 szt.</w:t>
                  </w:r>
                </w:p>
              </w:tc>
              <w:tc>
                <w:tcPr>
                  <w:tcW w:w="667" w:type="pct"/>
                  <w:shd w:val="clear" w:color="auto" w:fill="E5DFEC" w:themeFill="accent4" w:themeFillTint="33"/>
                  <w:vAlign w:val="center"/>
                </w:tcPr>
                <w:p w:rsidR="00753369" w:rsidRPr="00DF7D24" w:rsidRDefault="00753369" w:rsidP="00753369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  <w:t>Podać typ, producent</w:t>
                  </w:r>
                </w:p>
              </w:tc>
              <w:tc>
                <w:tcPr>
                  <w:tcW w:w="1044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174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Obsługa monitora poprzez kolorowy ekran dotykowy HD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Przekątna ekranu min. 7,5"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Rozdzielczość ekranu min. 1920 x 1080 pikseli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Monitor wyposażony w min. 2 gniazda wejściowe kamer do jednoczesnego podłączenia oferowanego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wideolaryngoskopu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wraz z dedykowanym giętkim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wideoendoskopem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intubacyjnym lub innym dedykowanym przyrządem do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wideointubacji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w celu szybkiej zmiany przyrządu do intubacji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Dostępna funkcja jednoczesnego wyświetlania obrazu z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dw</w:t>
                  </w: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óch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kamer w trybach Picture-in-Picture i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Side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-by-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Side</w:t>
                  </w:r>
                  <w:proofErr w:type="spellEnd"/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Monitor wyposażony w gniazdo karty pamięci SD umożliwiające zapis przebiegu intubacji w postaci zdjęć i filmu wideo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Funkcja przeglądania i odtwarzania zapisanych zdjęć i film</w:t>
                  </w: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 wideo bezpośrednio na monitorze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Monitor wyposażony w gniazdo USB do podłączenia pamięci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PenDrive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Funkcja zapisu dźwięku poprzez zintegrowany w monitorze mikrofon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Funkcja transferu danych z karty SD do pamięci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PenDrive</w:t>
                  </w:r>
                  <w:proofErr w:type="spellEnd"/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Monitor wyposażony w gniazdo wideo HDMI do podłączenia do dodatkowego, zewnętrznego monitora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Monitor wyposażony w standard mocowania VESA umożliwiający zamocowanie do stojaka mobilnego lub uchwytu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Współczynnik ochrony min. IP54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Zasilanie monitora poprzez zintegrowany akumulator Li-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Ion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jak również z sieci 230 V / 50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Hz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, zasilacz sieciowy w zestawie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Przewód łączący przenośny monitor z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wideolaryngoskopem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– 1 szt.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E5DFEC" w:themeFill="accent4" w:themeFillTint="33"/>
                  <w:vAlign w:val="center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  <w:t>II</w:t>
                  </w: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proofErr w:type="spellStart"/>
                  <w:r w:rsidRPr="00DF7D2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pl"/>
                    </w:rPr>
                    <w:t>Wideolaryngoskopy</w:t>
                  </w:r>
                  <w:proofErr w:type="spellEnd"/>
                  <w:r w:rsidRPr="00DF7D2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pl"/>
                    </w:rPr>
                    <w:t xml:space="preserve"> wielorazowe</w:t>
                  </w:r>
                </w:p>
              </w:tc>
              <w:tc>
                <w:tcPr>
                  <w:tcW w:w="667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  <w:t>Podać typ, producent</w:t>
                  </w:r>
                </w:p>
              </w:tc>
              <w:tc>
                <w:tcPr>
                  <w:tcW w:w="1044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ze zintegrowaną łopatką i rękojeścią, wykonany z metalu, podlegający procedurom dekontaminacji w celu ponownego użycia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Rękojeść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wideolaryngoskopu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wykonana z tytanu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wykorzystujący technologię kamery CMOS oraz technologię oświetleniową LED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Rozdzielczość HD min. 800p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Rękojeść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wideolaryngoskopu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wyposażona w jeden przycisk do uruchamiania zapisu zdjęć i filmu w podłączonym monitorze (obsługa poprzez długie i kr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ótkie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wciśnięcie przycisku)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Rękojeść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wideolaryngoskopu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wyposażona w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bezgwintowy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interfejs do połączenia z przenośnym monitorem przy pomocy przewodu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Możliwość przymocowania dedykowanego małego monitora kieszonkowego bezpośrednio na rękojeści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wideolaryngoskopu</w:t>
                  </w:r>
                  <w:proofErr w:type="spellEnd"/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W zestawie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z łopatką o kształcie Macintosh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rozm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. 3 - 1 szt.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W zestawie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z łopatką o kształcie Macintosh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rozm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. 4 - 1 szt.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W zestawie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z łopatką do trudnych intubacji - 1 szt.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Zatyczka ochronna do interfejsu połączeniowego 4 szt.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E5DFEC" w:themeFill="accent4" w:themeFillTint="33"/>
                  <w:vAlign w:val="center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  <w:t>III</w:t>
                  </w: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l"/>
                    </w:rPr>
                    <w:t xml:space="preserve">Moduł kamery do </w:t>
                  </w:r>
                  <w:proofErr w:type="spellStart"/>
                  <w:r w:rsidRPr="00DF7D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ów jednorazowych - 1 szt.</w:t>
                  </w:r>
                </w:p>
              </w:tc>
              <w:tc>
                <w:tcPr>
                  <w:tcW w:w="667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  <w:t>Podać typ, producent</w:t>
                  </w:r>
                </w:p>
              </w:tc>
              <w:tc>
                <w:tcPr>
                  <w:tcW w:w="1044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Moduł kamery przeznaczony do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wsp</w:t>
                  </w: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ółpracy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 xml:space="preserve"> z przenośnym monitorem i jednorazowymi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wideolaryngoskopami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Technologia kamery CMOS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Moduł kamery wyposażony w obudowę z elastyczną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końc</w:t>
                  </w: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ówką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 xml:space="preserve"> umożlwiającą wprowadzenie do wewnątrz rękojeści i łopatki jednorazowego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wideolaryngoskopu</w:t>
                  </w:r>
                  <w:proofErr w:type="spellEnd"/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Moduł wyposażona w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bezgwintowy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interfejs do połączenia z przenośnym monitorem przy pomocy przewodu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Uruchamianie zapisu zdjęć i film</w:t>
                  </w: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ów w podłączonym monitorze przy pomocy jednego przycisku umieszczonego na obudowie modułu kamery (poprzez długie i krótkie wciśnięcie przycisku)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Możliwość przymocowania dedykowanego małego monitora kieszonkowego bezpośrednio do modułu kamery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E5DFEC" w:themeFill="accent4" w:themeFillTint="33"/>
                  <w:vAlign w:val="center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  <w:t>IV</w:t>
                  </w: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proofErr w:type="spellStart"/>
                  <w:r w:rsidRPr="00DF7D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l"/>
                    </w:rPr>
                    <w:t>Wideolaryngoskopy</w:t>
                  </w:r>
                  <w:proofErr w:type="spellEnd"/>
                  <w:r w:rsidRPr="00DF7D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l"/>
                    </w:rPr>
                    <w:t xml:space="preserve"> jednorazowe</w:t>
                  </w:r>
                </w:p>
              </w:tc>
              <w:tc>
                <w:tcPr>
                  <w:tcW w:w="667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  <w:t>Podać typ, producent</w:t>
                  </w:r>
                </w:p>
              </w:tc>
              <w:tc>
                <w:tcPr>
                  <w:tcW w:w="1044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Jednorazowy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 złożony z łopatki i zintegrowanej rękojeści umożliwiającej wprowadzenie modułu kamery, łopatka Macintosh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rozm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. 3, op. 10 szt. - 2 op.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Jednorazowy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 złożony z łopatki i zintegrowanej rękojeści umożliwiającej wprowadzenie modułu kamery, łopatka Macintosh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rozm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. 4, op. 10 szt. - 2 op.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Jednorazowy </w:t>
                  </w:r>
                  <w:proofErr w:type="spellStart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 złożony z łopatki i zintegrowanej rękojeści umożliwiającej wprowadzenie modułu kamery, łopatka o kształcie dedykowanym do trudnych intubacji, op. 10 szt. - 2 op.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E5DFEC" w:themeFill="accent4" w:themeFillTint="33"/>
                  <w:vAlign w:val="center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  <w:t>V</w:t>
                  </w: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pl"/>
                    </w:rPr>
                    <w:t>Stojak mobilny - 1 zestaw</w:t>
                  </w:r>
                </w:p>
              </w:tc>
              <w:tc>
                <w:tcPr>
                  <w:tcW w:w="667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  <w:lang w:eastAsia="zh-CN"/>
                    </w:rPr>
                    <w:t>Podać typ, producent</w:t>
                  </w:r>
                </w:p>
              </w:tc>
              <w:tc>
                <w:tcPr>
                  <w:tcW w:w="1044" w:type="pct"/>
                  <w:shd w:val="clear" w:color="auto" w:fill="E5DFEC" w:themeFill="accent4" w:themeFillTint="33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Stojak mobilny na 4 kołach z możliwością przymocowania przenośnego monitora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B90423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22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53369" w:rsidRPr="00DF7D24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Kosz druciany wyposażony w uchwyt do </w:t>
                  </w:r>
                  <w:proofErr w:type="spellStart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wideolaryngoskop</w:t>
                  </w:r>
                  <w:proofErr w:type="spellEnd"/>
                  <w:r w:rsidRPr="00DF7D2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</w:t>
                  </w:r>
                </w:p>
              </w:tc>
              <w:tc>
                <w:tcPr>
                  <w:tcW w:w="667" w:type="pct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ED05BB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D9D9D9" w:themeFill="background1" w:themeFillShade="D9"/>
                  <w:vAlign w:val="center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3022" w:type="pct"/>
                  <w:shd w:val="clear" w:color="auto" w:fill="D9D9D9" w:themeFill="background1" w:themeFillShade="D9"/>
                  <w:vAlign w:val="center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INNE</w:t>
                  </w:r>
                </w:p>
              </w:tc>
              <w:tc>
                <w:tcPr>
                  <w:tcW w:w="667" w:type="pct"/>
                  <w:shd w:val="clear" w:color="auto" w:fill="D9D9D9" w:themeFill="background1" w:themeFillShade="D9"/>
                  <w:vAlign w:val="center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" w:type="pct"/>
                  <w:shd w:val="clear" w:color="auto" w:fill="D9D9D9" w:themeFill="background1" w:themeFillShade="D9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3961C5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22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      </w:r>
                  <w:r w:rsidRPr="00DF7D24">
                    <w:rPr>
                      <w:rFonts w:ascii="Times New Roman" w:eastAsia="Calibri" w:hAnsi="Times New Roman"/>
                      <w:sz w:val="20"/>
                      <w:szCs w:val="20"/>
                      <w:shd w:val="clear" w:color="auto" w:fill="FFFFFF"/>
                    </w:rPr>
                    <w:t xml:space="preserve"> wykazu czynności serwisowych, które mogą być wykonywane przez użytkownika samodzielnie nieskutkujące utratą gwarancji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 z dostawą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4105DA" w:rsidTr="00753369">
              <w:trPr>
                <w:cantSplit/>
                <w:trHeight w:val="20"/>
              </w:trPr>
              <w:tc>
                <w:tcPr>
                  <w:tcW w:w="2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022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Czy producent zaleca wykonywanie przeglądów technicznych?</w:t>
                  </w:r>
                </w:p>
                <w:p w:rsidR="00753369" w:rsidRPr="00DF7D24" w:rsidRDefault="00753369" w:rsidP="0075336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Jeżeli TAK podać częstotliwość wykonania przeglądów technicznych zalecanych przez producenta</w:t>
                  </w:r>
                </w:p>
                <w:p w:rsidR="00753369" w:rsidRPr="00DF7D24" w:rsidRDefault="00753369" w:rsidP="0075336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W przypadku odpowiedzi TAK:</w:t>
                  </w:r>
                </w:p>
                <w:p w:rsidR="00753369" w:rsidRPr="00DF7D24" w:rsidRDefault="00753369" w:rsidP="0075336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Wszystkie przeglądy, naprawy w okresie gwarancji  (części, dojazd, czas pracy serwisu) wliczone w cenę oferty dokonywane w siedzibie zamawiającego.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TAK/NIE</w:t>
                  </w:r>
                  <w:r w:rsidRPr="00DF7D24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footnoteReference w:id="3"/>
                  </w:r>
                </w:p>
                <w:p w:rsidR="00753369" w:rsidRPr="00DF7D24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7D24">
                    <w:rPr>
                      <w:rFonts w:ascii="Times New Roman" w:hAnsi="Times New Roman"/>
                      <w:sz w:val="20"/>
                      <w:szCs w:val="20"/>
                    </w:rPr>
                    <w:t>Podać jeśli zalecane</w:t>
                  </w:r>
                </w:p>
              </w:tc>
              <w:tc>
                <w:tcPr>
                  <w:tcW w:w="1044" w:type="pct"/>
                </w:tcPr>
                <w:p w:rsidR="00753369" w:rsidRPr="00DF7D24" w:rsidRDefault="00753369" w:rsidP="00753369">
                  <w:pPr>
                    <w:suppressAutoHyphens/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53369" w:rsidRPr="00CD5E0E" w:rsidRDefault="00753369" w:rsidP="00753369">
            <w:pPr>
              <w:suppressAutoHyphens/>
              <w:ind w:firstLine="708"/>
              <w:jc w:val="both"/>
              <w:rPr>
                <w:sz w:val="18"/>
                <w:szCs w:val="18"/>
                <w:lang w:eastAsia="zh-CN"/>
              </w:rPr>
            </w:pPr>
          </w:p>
          <w:p w:rsidR="00753369" w:rsidRPr="00753369" w:rsidRDefault="00753369" w:rsidP="0075336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33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Treść oświadczenia wykonawcy: </w:t>
            </w:r>
          </w:p>
          <w:p w:rsidR="00753369" w:rsidRPr="00753369" w:rsidRDefault="00753369" w:rsidP="00753369">
            <w:pPr>
              <w:numPr>
                <w:ilvl w:val="0"/>
                <w:numId w:val="4"/>
              </w:numPr>
              <w:suppressAutoHyphens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533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Oświadczamy, że przedstawione powyżej dane są prawdziwe oraz zobowiązujemy się w przypadku wygrania postępowania do dostarczenia sprzętu spełniającego wyspecyfikowane parametry.</w:t>
            </w:r>
          </w:p>
          <w:p w:rsidR="00753369" w:rsidRPr="00753369" w:rsidRDefault="00753369" w:rsidP="00753369">
            <w:pPr>
              <w:numPr>
                <w:ilvl w:val="0"/>
                <w:numId w:val="4"/>
              </w:numPr>
              <w:suppressAutoHyphens/>
              <w:ind w:left="357" w:right="119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33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Oświadczamy, że oferowany, powyżej wyspecyfikowany sprzęt jest kompletny i po zainstalowaniu będzie gotowy do eksploatacji, bez żadnych dodatkowych zakupów i inwestycji.</w:t>
            </w:r>
          </w:p>
          <w:p w:rsidR="00753369" w:rsidRPr="00CD5E0E" w:rsidRDefault="00753369" w:rsidP="00753369">
            <w:pPr>
              <w:rPr>
                <w:sz w:val="14"/>
                <w:szCs w:val="14"/>
              </w:rPr>
            </w:pPr>
            <w:r w:rsidRPr="00CD5E0E">
              <w:rPr>
                <w:sz w:val="14"/>
                <w:szCs w:val="14"/>
              </w:rPr>
              <w:t xml:space="preserve"> </w:t>
            </w:r>
          </w:p>
          <w:p w:rsidR="00753369" w:rsidRDefault="00753369" w:rsidP="00753369">
            <w:pPr>
              <w:ind w:left="357"/>
              <w:jc w:val="right"/>
              <w:rPr>
                <w:color w:val="000000"/>
                <w:sz w:val="16"/>
                <w:szCs w:val="20"/>
              </w:rPr>
            </w:pPr>
          </w:p>
          <w:p w:rsidR="00753369" w:rsidRDefault="00753369" w:rsidP="00753369">
            <w:pPr>
              <w:ind w:left="357"/>
              <w:jc w:val="right"/>
              <w:rPr>
                <w:color w:val="000000"/>
                <w:sz w:val="16"/>
                <w:szCs w:val="20"/>
              </w:rPr>
            </w:pPr>
          </w:p>
          <w:p w:rsidR="00753369" w:rsidRDefault="00753369" w:rsidP="00753369">
            <w:pPr>
              <w:ind w:left="357"/>
              <w:jc w:val="right"/>
              <w:rPr>
                <w:color w:val="000000"/>
                <w:sz w:val="16"/>
                <w:szCs w:val="20"/>
              </w:rPr>
            </w:pPr>
          </w:p>
          <w:p w:rsidR="00753369" w:rsidRDefault="00753369" w:rsidP="00753369">
            <w:pPr>
              <w:ind w:left="357"/>
              <w:jc w:val="right"/>
              <w:rPr>
                <w:color w:val="000000"/>
                <w:sz w:val="16"/>
                <w:szCs w:val="20"/>
              </w:rPr>
            </w:pPr>
          </w:p>
          <w:p w:rsidR="00753369" w:rsidRPr="00CD5E0E" w:rsidRDefault="00753369" w:rsidP="00753369">
            <w:pPr>
              <w:ind w:left="357"/>
              <w:jc w:val="right"/>
              <w:rPr>
                <w:color w:val="000000"/>
                <w:sz w:val="16"/>
                <w:szCs w:val="20"/>
              </w:rPr>
            </w:pPr>
            <w:r w:rsidRPr="00CD5E0E">
              <w:rPr>
                <w:color w:val="000000"/>
                <w:sz w:val="16"/>
                <w:szCs w:val="20"/>
              </w:rPr>
              <w:t xml:space="preserve">………............................................................................... </w:t>
            </w:r>
          </w:p>
          <w:p w:rsidR="00753369" w:rsidRPr="00753369" w:rsidRDefault="00753369" w:rsidP="00753369">
            <w:pPr>
              <w:ind w:left="5103"/>
              <w:jc w:val="center"/>
              <w:rPr>
                <w:i/>
                <w:sz w:val="16"/>
                <w:szCs w:val="20"/>
              </w:rPr>
            </w:pPr>
            <w:r w:rsidRPr="00753369">
              <w:rPr>
                <w:i/>
                <w:sz w:val="16"/>
                <w:szCs w:val="20"/>
              </w:rPr>
              <w:t>podpis i  pieczęć  osób wskazanych w dokumencie</w:t>
            </w:r>
          </w:p>
          <w:p w:rsidR="00753369" w:rsidRPr="00753369" w:rsidRDefault="00753369" w:rsidP="00753369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753369">
              <w:rPr>
                <w:i/>
                <w:sz w:val="16"/>
                <w:szCs w:val="20"/>
              </w:rPr>
              <w:t>uprawniającym do występowania w obrocie prawnym</w:t>
            </w:r>
          </w:p>
          <w:p w:rsidR="00753369" w:rsidRPr="00753369" w:rsidRDefault="00753369" w:rsidP="00753369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                                                                  </w:t>
            </w:r>
            <w:r w:rsidRPr="00753369">
              <w:rPr>
                <w:i/>
                <w:sz w:val="16"/>
                <w:szCs w:val="20"/>
              </w:rPr>
              <w:t>lub posiadających pełnomocnictwo</w:t>
            </w:r>
          </w:p>
          <w:p w:rsidR="00753369" w:rsidRPr="00CD5E0E" w:rsidRDefault="00753369" w:rsidP="00753369">
            <w:pPr>
              <w:jc w:val="both"/>
              <w:rPr>
                <w:sz w:val="14"/>
                <w:szCs w:val="14"/>
              </w:rPr>
            </w:pPr>
          </w:p>
          <w:p w:rsidR="00753369" w:rsidRPr="00CD5E0E" w:rsidRDefault="00753369" w:rsidP="00753369">
            <w:pPr>
              <w:spacing w:after="200" w:line="276" w:lineRule="auto"/>
              <w:jc w:val="center"/>
              <w:rPr>
                <w:b/>
                <w:bCs/>
                <w:u w:val="single"/>
                <w:lang w:eastAsia="zh-CN"/>
              </w:rPr>
            </w:pPr>
          </w:p>
          <w:p w:rsid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center"/>
              <w:rPr>
                <w:b/>
                <w:bCs/>
                <w:u w:val="single"/>
                <w:lang w:eastAsia="zh-CN"/>
              </w:rPr>
            </w:pPr>
            <w:r w:rsidRPr="00CD5E0E">
              <w:rPr>
                <w:b/>
                <w:bCs/>
                <w:u w:val="single"/>
                <w:lang w:eastAsia="zh-CN"/>
              </w:rPr>
              <w:br w:type="page"/>
            </w:r>
          </w:p>
          <w:p w:rsid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center"/>
              <w:rPr>
                <w:b/>
                <w:bCs/>
                <w:u w:val="single"/>
                <w:lang w:eastAsia="zh-CN"/>
              </w:rPr>
            </w:pPr>
          </w:p>
          <w:p w:rsid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center"/>
              <w:rPr>
                <w:b/>
                <w:bCs/>
                <w:u w:val="single"/>
                <w:lang w:eastAsia="zh-CN"/>
              </w:rPr>
            </w:pPr>
            <w:r w:rsidRPr="00F21CE1">
              <w:rPr>
                <w:b/>
                <w:bCs/>
                <w:u w:val="single"/>
                <w:lang w:eastAsia="zh-CN"/>
              </w:rPr>
              <w:t xml:space="preserve">Pakiet </w:t>
            </w:r>
            <w:r>
              <w:rPr>
                <w:b/>
                <w:bCs/>
                <w:u w:val="single"/>
                <w:lang w:eastAsia="zh-CN"/>
              </w:rPr>
              <w:t xml:space="preserve">2                   </w:t>
            </w:r>
            <w:r w:rsidRPr="00F21CE1">
              <w:rPr>
                <w:b/>
                <w:bCs/>
                <w:u w:val="single"/>
                <w:lang w:eastAsia="zh-CN"/>
              </w:rPr>
              <w:t xml:space="preserve"> Stół operacyjny urologiczny– 1 </w:t>
            </w:r>
            <w:proofErr w:type="spellStart"/>
            <w:r w:rsidRPr="00F21CE1">
              <w:rPr>
                <w:b/>
                <w:bCs/>
                <w:u w:val="single"/>
                <w:lang w:eastAsia="zh-CN"/>
              </w:rPr>
              <w:t>kpl</w:t>
            </w:r>
            <w:proofErr w:type="spellEnd"/>
            <w:r w:rsidRPr="00F21CE1">
              <w:rPr>
                <w:b/>
                <w:bCs/>
                <w:u w:val="single"/>
                <w:lang w:eastAsia="zh-CN"/>
              </w:rPr>
              <w:t>.</w:t>
            </w:r>
          </w:p>
          <w:p w:rsid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center"/>
              <w:rPr>
                <w:b/>
                <w:bCs/>
                <w:u w:val="single"/>
                <w:lang w:eastAsia="zh-CN"/>
              </w:rPr>
            </w:pPr>
          </w:p>
          <w:p w:rsid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center"/>
              <w:rPr>
                <w:b/>
                <w:bCs/>
                <w:u w:val="single"/>
                <w:lang w:eastAsia="zh-CN"/>
              </w:rPr>
            </w:pPr>
          </w:p>
          <w:p w:rsidR="00753369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u w:val="single"/>
                <w:lang w:eastAsia="zh-CN"/>
              </w:rPr>
            </w:pP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  <w:r w:rsidRPr="00CD5E0E">
              <w:rPr>
                <w:b/>
                <w:bCs/>
                <w:lang w:eastAsia="zh-CN"/>
              </w:rPr>
              <w:t>Wykonawca:</w:t>
            </w:r>
            <w:r w:rsidRPr="00CD5E0E">
              <w:rPr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  <w:r w:rsidRPr="00CD5E0E">
              <w:rPr>
                <w:b/>
                <w:bCs/>
                <w:lang w:eastAsia="zh-CN"/>
              </w:rPr>
              <w:t>Nazwa i typ:</w:t>
            </w:r>
            <w:r w:rsidRPr="00CD5E0E">
              <w:rPr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  <w:r w:rsidRPr="00CD5E0E">
              <w:rPr>
                <w:b/>
                <w:bCs/>
                <w:lang w:eastAsia="zh-CN"/>
              </w:rPr>
              <w:t>Producent/ Kraj :</w:t>
            </w:r>
            <w:r w:rsidRPr="00CD5E0E">
              <w:rPr>
                <w:b/>
                <w:bCs/>
                <w:lang w:eastAsia="zh-CN"/>
              </w:rPr>
              <w:tab/>
              <w:t>……………………………………………</w:t>
            </w: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rPr>
                <w:b/>
                <w:bCs/>
                <w:lang w:eastAsia="zh-CN"/>
              </w:rPr>
            </w:pPr>
            <w:r w:rsidRPr="00CD5E0E">
              <w:rPr>
                <w:b/>
                <w:bCs/>
                <w:lang w:eastAsia="zh-CN"/>
              </w:rPr>
              <w:t>Rok produkcji :</w:t>
            </w:r>
            <w:r w:rsidRPr="00CD5E0E">
              <w:rPr>
                <w:b/>
                <w:bCs/>
                <w:lang w:eastAsia="zh-CN"/>
              </w:rPr>
              <w:tab/>
              <w:t xml:space="preserve">sprzęt fabrycznie nowy, nieużywany, </w:t>
            </w:r>
            <w:proofErr w:type="spellStart"/>
            <w:r w:rsidRPr="00CD5E0E">
              <w:rPr>
                <w:b/>
                <w:bCs/>
                <w:lang w:eastAsia="zh-CN"/>
              </w:rPr>
              <w:t>nierekondycjonowany</w:t>
            </w:r>
            <w:proofErr w:type="spellEnd"/>
            <w:r w:rsidRPr="00CD5E0E">
              <w:rPr>
                <w:b/>
                <w:bCs/>
                <w:lang w:eastAsia="zh-CN"/>
              </w:rPr>
              <w:t xml:space="preserve">, nie powystawowy / rok produkcji </w:t>
            </w:r>
            <w:r>
              <w:rPr>
                <w:b/>
                <w:bCs/>
                <w:lang w:eastAsia="zh-CN"/>
              </w:rPr>
              <w:t>2024</w:t>
            </w: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</w:p>
          <w:p w:rsidR="00753369" w:rsidRPr="00CD5E0E" w:rsidRDefault="00753369" w:rsidP="00753369">
            <w:pPr>
              <w:rPr>
                <w:sz w:val="20"/>
                <w:szCs w:val="20"/>
              </w:rPr>
            </w:pPr>
            <w:r w:rsidRPr="00CD5E0E">
              <w:rPr>
                <w:sz w:val="20"/>
                <w:szCs w:val="20"/>
              </w:rPr>
              <w:t>*Odpowiedź NIE w przypadku parametrów wymaganych  powoduje odrzucenie oferty</w:t>
            </w:r>
          </w:p>
          <w:p w:rsidR="00753369" w:rsidRPr="00CD5E0E" w:rsidRDefault="00753369" w:rsidP="00753369">
            <w:pPr>
              <w:tabs>
                <w:tab w:val="left" w:pos="5812"/>
                <w:tab w:val="left" w:pos="9781"/>
              </w:tabs>
              <w:suppressAutoHyphens/>
              <w:ind w:left="2410" w:hanging="2410"/>
              <w:jc w:val="both"/>
              <w:rPr>
                <w:b/>
                <w:bCs/>
                <w:lang w:eastAsia="zh-CN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4815"/>
              <w:gridCol w:w="1418"/>
              <w:gridCol w:w="2267"/>
            </w:tblGrid>
            <w:tr w:rsidR="00753369" w:rsidRPr="004105DA" w:rsidTr="00753369">
              <w:trPr>
                <w:cantSplit/>
                <w:trHeight w:val="7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ED05BB" w:rsidRDefault="00753369" w:rsidP="00753369">
                  <w:pPr>
                    <w:suppressAutoHyphens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ED05BB">
                    <w:rPr>
                      <w:b/>
                      <w:bCs/>
                      <w:sz w:val="16"/>
                      <w:szCs w:val="16"/>
                      <w:lang w:eastAsia="zh-CN"/>
                    </w:rPr>
                    <w:t>L.P.</w:t>
                  </w:r>
                </w:p>
              </w:tc>
              <w:tc>
                <w:tcPr>
                  <w:tcW w:w="4815" w:type="dxa"/>
                  <w:shd w:val="clear" w:color="auto" w:fill="auto"/>
                  <w:vAlign w:val="center"/>
                </w:tcPr>
                <w:p w:rsidR="00753369" w:rsidRPr="00ED05BB" w:rsidRDefault="00753369" w:rsidP="00753369">
                  <w:pPr>
                    <w:suppressAutoHyphens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ED05BB">
                    <w:rPr>
                      <w:b/>
                      <w:bCs/>
                      <w:sz w:val="16"/>
                      <w:szCs w:val="16"/>
                      <w:lang w:eastAsia="zh-CN"/>
                    </w:rPr>
                    <w:t xml:space="preserve">PARAMETRY TECHNICZNE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53369" w:rsidRPr="00ED05BB" w:rsidRDefault="00753369" w:rsidP="00753369">
                  <w:pPr>
                    <w:suppressAutoHyphens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ED05BB">
                    <w:rPr>
                      <w:b/>
                      <w:bCs/>
                      <w:sz w:val="16"/>
                      <w:szCs w:val="16"/>
                      <w:lang w:eastAsia="zh-CN"/>
                    </w:rPr>
                    <w:t>PARAMETR WYMAGANY</w:t>
                  </w:r>
                  <w:r>
                    <w:rPr>
                      <w:rStyle w:val="Odwoanieprzypisudolnego"/>
                      <w:b/>
                      <w:bCs/>
                      <w:sz w:val="16"/>
                      <w:szCs w:val="16"/>
                      <w:lang w:eastAsia="zh-CN"/>
                    </w:rPr>
                    <w:footnoteReference w:id="4"/>
                  </w:r>
                </w:p>
              </w:tc>
              <w:tc>
                <w:tcPr>
                  <w:tcW w:w="2267" w:type="dxa"/>
                  <w:vAlign w:val="center"/>
                </w:tcPr>
                <w:p w:rsidR="00753369" w:rsidRPr="00CD5E0E" w:rsidRDefault="00753369" w:rsidP="00753369">
                  <w:pPr>
                    <w:jc w:val="center"/>
                    <w:rPr>
                      <w:sz w:val="16"/>
                      <w:szCs w:val="16"/>
                    </w:rPr>
                  </w:pPr>
                  <w:r w:rsidRPr="00CD5E0E">
                    <w:rPr>
                      <w:b/>
                      <w:sz w:val="16"/>
                      <w:szCs w:val="16"/>
                    </w:rPr>
                    <w:t xml:space="preserve">PARAMETRY OFEROWANE/ </w:t>
                  </w:r>
                  <w:r w:rsidRPr="00CD5E0E">
                    <w:rPr>
                      <w:b/>
                      <w:sz w:val="16"/>
                      <w:szCs w:val="16"/>
                    </w:rPr>
                    <w:br/>
                    <w:t>NR STRONY W MATERIAŁACH INFORMACYJNYCH DOŁĄCZONYCH DO OFERTY</w:t>
                  </w:r>
                </w:p>
              </w:tc>
            </w:tr>
            <w:tr w:rsidR="00753369" w:rsidRPr="006F4CE0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F4C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4815" w:type="dxa"/>
                  <w:shd w:val="clear" w:color="auto" w:fill="D9D9D9" w:themeFill="background1" w:themeFillShade="D9"/>
                  <w:vAlign w:val="center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F4C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PARAMETRY OGÓLNE 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shd w:val="clear" w:color="auto" w:fill="D9D9D9" w:themeFill="background1" w:themeFillShade="D9"/>
                </w:tcPr>
                <w:p w:rsidR="00753369" w:rsidRPr="006F4CE0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Stół operacyjny mobilny na podstawie jezdnej z min. 4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podw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ójnymi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kołami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Koła o średnicy min. 140  mm  +/- 15 mm pozwalającej na łatwe manewrowanie stołem oraz transport pacjenta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Stół z dodatkowym piątym kołem kierunkowym aktywowanym w celu łatwiejszego manewrowania stołem lub z napędem własnym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tabs>
                      <w:tab w:val="right" w:pos="6838"/>
                    </w:tabs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Wymiary stołu: długość min. 195 cm, szerokość z szynami bocznymi: min. 58 cm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tabs>
                      <w:tab w:val="right" w:pos="6838"/>
                    </w:tabs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Kolumna stołu teleskopowa pokryta panelami ze stali nierdzewnej. Dopuszcza się częściowy fartuch gumowy.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Kolumna umiejscowiona na podstawie stołu niecentralnie umożliwiająca wysunięcie blatu stołu poza kolumnę o min. 1450 mm od strony głowy oraz min. 980 mm od strony n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óg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tabs>
                      <w:tab w:val="right" w:pos="6838"/>
                    </w:tabs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Konstrukcja blatu modułowa pozwalająca na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dob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ór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odpowiedniej konfiguracji i długości blatu w zależności od rodzaju zabiegu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Stół blokowany za pomocą centralnego hamulca k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ół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znajdującego się po obu stronach stołu osi długiej 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Możliwość zamiany miejscami segmentu plecowego z nożnym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Poszczególne elementy blatów łączone na zasadzie gniazda wpustowego (np.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szybkozłączka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, hak, zatrzask, gniazdo-czop), bez dodatkowych manipulacji w innych płaszczyznach oraz bez użycia narzędzi i pokręteł (jedno kliknięcie/osadzenie powinno stanowić bezpieczne połączenie element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ów)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Gniazda wpustowe czytelnie oznaczone: blokada/zwolnienie blokady, bez konieczności przytrzymywania blokady do zdjęcia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poszczeg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ólnych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elementów.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Pilot bezprzewodowy ze wskaźnikiem słupkowym naładowania baterii stołu i pilota.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Pilot z wyświetlaczem wyposażony w przyciski oznaczone czytelnymi, podświetlanymi piktogramami ułatwiającymi pracę w zacienionej sali operacyjnej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Ładowanie pilota bezprzewodowego poza obrębem stołu(bez konieczności podłączania pilota do stołu)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Pilot aktywowany ze stanu czuwania do stanu gotowości za pomocą wbudowanego czujnika ruchu (podniesienie pilota powoduje jego aktywację)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Ostrzeżenie o możliwości wystąpienia kolizji: wizualne (na ekranie pilota sterującego), akustyczne - za pomocą sygnału ostrzegawczego i dotykowe - poprzez alarm wibracyjny pilota sterującego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Przesuw wzdłużny blatu min. 300 mm wykonywany z pilota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Blat stołu przezierny dla promieniowania RTG – Przystosowany do monitorowania ramieniem C. Brak umiejscowienia poprzeczek wzmacniających mogących przesłaniać obraz RTG.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52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Blat stołu dzielony na min. 5 segment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ów: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- podgłówek – odłączony, z możliwością podwójnej regulacji kąta ustawienia głowy</w:t>
                  </w:r>
                </w:p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- przedłużenie segmentu plecowego regulowane elektrycznie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br/>
                    <w:t>- segment plecowy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br/>
                    <w:t>- siedzisko (z wycięciem ginekologicznym lub bez do wyboru przez zamawiającego)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br/>
                    <w:t>- segment nożny dzielony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Sekcja nóg 2-dzielna z możliwością odwiedzenia na boki całego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podn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óżka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 zakresie min. 120 ° - 2 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Zakres elektrohydraulicznej regulacji segmentów nóg w zakresie min. -90°/+70°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Zakres regulacji segmentów nóg wspomaganej sprężyną gazową min. -90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°/+10°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92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Podgł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ówek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regulowany manualnie w dwóch płaszczyznach za pomocą dźwigni odpowiadających za poszczególne osie/płaszczyzny. Zakres regulacji podgłówka w zakresie min. -45°/+25°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Ruchome, uchylne przedłużenie sekcji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plec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 umożliwiające wypiętrzenie klatki piersiowej sterowane z pilota , regulacja elektryczna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Sterowana za pomocą pilota regulacja elektrohydrauliczna następujących ruch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 (wg zakresów podanych w poniżej wyspecyfikowanych punktach):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- wysokość blatu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 xml:space="preserve">- regulacja pozycji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Trendelenburga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/anty-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Trenedelenburga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- regulacja przechyłów bocznych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- regulacja płyty plecowej</w:t>
                  </w:r>
                </w:p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- regulacje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podnóżk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ów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- pozycja „0” za pomocą jednego przycisku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 xml:space="preserve">- pozycja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flex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reflex</w:t>
                  </w:r>
                  <w:proofErr w:type="spellEnd"/>
                </w:p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- przesuw wzdłużny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Powrót blatu do pozycji wyjściowej (pozycja „0”) po naciśnięciu i przytrzymaniu jednego przycisku na pilocie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Stół z możliwością zapamiętywania i łatwego wywoływania min. 6 często używanych przez Użytkownika pozycji (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opr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ócz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pozycji na stałe zaprogramowanych przez producenta, np. pozycja „0” oraz „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flex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” i „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reflex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Funkcje ustawienia blatu stołu do pozycji „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flex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” i „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reflex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” realizowane za pomocą jednego przycisku lub po wybraniu tej funkcji na pilocie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Regulacja wysokości w zakresie min. od 70 do 110 cm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Regulacja nachylenia wzdłużnego (pozycja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Trendelenburga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, anty-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Trendelenburga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) w zakresie min. -30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° do +30°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Regulacje nachyleń bocznych w zakresie min. 20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° w obie strony.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Regulacja nachylenia płyty plecowej w zakresie min. -40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°, +70°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Sygnalizacja braku blokady kół przed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pr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óbą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zmiany ustawień stołu, który nie został wcześniej unieruchomiony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System antykolizyjny, zabezpieczający przed kolizja element</w:t>
                  </w: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 xml:space="preserve">ów blatu oraz niepozwalający na uderzenie elementem blatu o podłoże (system zatrzymujący ruch w przypadku możliwego wystąpienia kolizji i informujący o zaistniałej sytuacji) 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Czujnik antykolizyjny w kolumnie stołu zabezpieczający przed uszkodzeniem obudowy kolumny w przypadku kolizji z przedmiotami lub elementami wyposażenia znajdującymi się na pokrywie podstawy stołu podczas opuszczania blatu stołu. Czujnik powinien powodować zatrzymanie ruchu stołu w d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ół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 przypadku napotkania przeszkody.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Materace przeciwodleżynowe,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demontowalne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, odporne na środki dezynfekcyjne, zespalane bezszwową metodą, o grubości min. 60 mm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Materac z funkcja pamięci kształtu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Mocowanie materacy do stołu przy pomocy</w:t>
                  </w:r>
                </w:p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samoprzylepnych pasków żelowych </w:t>
                  </w:r>
                </w:p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Nie dopuszcza się mocowania na rzepy.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Możliwość awaryjnej regulacji przechył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 bocznych i wzdłużnych blatu, sekcji pleców oraz wysokości stołu w przypadku awarii głównej pompy elektrycznej lub rozładowania głównego akumulatora za pomocą nożnej pompy hydraulicznej z jednoczesnym wyborem funkcji na awaryjnym panelu na kolumnie stołu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Dodatkowy panel sterujący umieszczony na kolumnie stołu od strony n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óg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 xml:space="preserve"> lub głowy pacjenta, odejmowalny umożliwiający sterowanie stołem poza obrębem stołu. Przewód panelu niewidoczny, ukryty w kolumnie lub inne rozwiązanie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wktórym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 xml:space="preserve"> przewód nie będzie widoczny.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Zasilanie stołu akumulatorowe wbudowane w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st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ół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 graficzny wskaźnik słupkowy stanu naładowania baterii na pilocie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Szyny sprzętowe ze stali nierdzewnej o przekroju 10 x 25 mm wzdłuż wszystkich segment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 blatu, po obu stronach stołu.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Szyna sprzętowa ze stali nierdzewnej o przekroju 10 x 25 mm od strony głowy pacjenta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Możliwość pracy z sieci 230V w trybie awaryjnym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Dopuszczalne obciążenie stołu – min. 450 kg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Max. obciążenie robocze umożliwiająca użycie stołu w dowolnym położeniu – min. 350 kg</w:t>
                  </w:r>
                  <w:r w:rsidRPr="00C20133">
                    <w:rPr>
                      <w:rFonts w:ascii="Times New Roman" w:hAnsi="Times New Roman"/>
                      <w:strike/>
                      <w:color w:val="000000"/>
                      <w:sz w:val="20"/>
                      <w:szCs w:val="20"/>
                      <w:lang w:val="pl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Możliwość włączenia funkcji powolnego startu ruch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ów stołu do wykorzystania w sytuacjach wymagających bardzo precyzyjnej zmiany ustawień 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pl"/>
                    </w:rPr>
                    <w:t>Wyposażenie stołu:</w:t>
                  </w:r>
                </w:p>
              </w:tc>
              <w:tc>
                <w:tcPr>
                  <w:tcW w:w="1418" w:type="dxa"/>
                  <w:shd w:val="clear" w:color="auto" w:fill="E5DFEC" w:themeFill="accent4" w:themeFillTint="33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shd w:val="clear" w:color="auto" w:fill="E5DFEC" w:themeFill="accent4" w:themeFillTint="33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Podpórka ręki wraz z dwoma pasami mocującymi, długa min 45 cm, na trzech przegubach kulowych, ustawiana przy pomocy jednego pokrętła. Po przekręceniu pokrętła następuje zwolnienie wszystkich przegub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ów. Mocowanie na szynie bocznej stołu za pomocą zintegrowanej klamry – 2 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Anestezjologiczna podpórka ręki wraz z dwoma pasami mocującymi, długa min 60 cm, na przegubie kulowym, ustawiana przy pomocy jednej dźwigni,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obr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ót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o 360° i przechył min. +/- 30° z zaciskami uniwersalnymi do mocowania na szynie bocznej stołu -2 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Pas do mocowania pacjenta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bariatryczny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 z poduszką piankową wymiar min. 10x45, montowany do szyn bocznych stołu – 4 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Zaciski mocujące do stołu z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systeme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 szybkiego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momtażu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, stal nierdzewna – 8szt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Ramka anestetyczna ze stali nierdzewnej z zaciskiem uniwersalnymi do mocowania na szynie bocznej stołu - 1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kpl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Podpórki barkowe zawierające: 2 klamry, 2 antystatyczne poduszki  min. 120 x 200 mm, 2 pręty mocujące do zainstalowania poduszek w poziomie lub w pionie -- 1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kpl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Klamra mocująca do mocowania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podp</w:t>
                  </w: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órek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pleców / pośladków, łonowych, umożliwiająca obrót w 2 płaszczyznach oraz regulację podpórek zarówno w pionie jak i w poziomie, zawierająca klamrę mocującą do szyn bocznych - 2 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Podparcie boczne szerokie o wymiarach 200x120mm ± 10 mm -2 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Podpórki pod nogi (para) z ochroną nerwu strzałkowego, regulacja ze wspomaganiem za pomocą sprężyn gazowych, samoblokujące się, osłona z tworzywa sztucznego z podkładką, na stopę i podudzie, regulowane we wszystkich pozycjach, ze zintegrowanym uchwytem na szynę boczną – 1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kpl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Materac żelowy na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st</w:t>
                  </w: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ół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 xml:space="preserve"> operacyjny 115x52x10cm – 2szt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Żelowe pozycjonery uniwersalne, wałki wymiar min. 290 x 100 x 60 mm +/- 10mm i 340x120x70 mm +/-1mm- 1 </w:t>
                  </w:r>
                  <w:proofErr w:type="spellStart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kpl</w:t>
                  </w:r>
                  <w:proofErr w:type="spellEnd"/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>Podkładka żelowa do ułożenia bocznego pacjenta wymiar min. 720 x 500 x 160 mm +/- 10mm – 1szt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Pierścień żelowy pod głowę dla dorosłych, zamknięty fi min. 200x50 – 1 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Ładowarka do pilota biurkowa lub na szynę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Modura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/do wyboru przez Zamawiającego/ - 1szt.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Przedłużenie urologiczne sekcji siedziska o około 420mm +/10mm, przezierne z szynami bocznymi ze stali nierdzewnej, dopasowane do wycięcia ginekologicznego– 1szt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Poszerzenia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bariatryczne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zestaw 2 segmentów wykonanych 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paianki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pokrytej antystatyczną powłoką dł. 500+/-5mm do sekcji siedziska oraz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plec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ów, montowane do szyn bocznych do stołu – 1 para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Poszerzenia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bariatryczne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zestaw 2 segmentów wykonanych 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paianki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pokrytej antystatyczną powłoką dł. 300+/-5mm do sekcji siedziska oraz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plec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ów, montowane do szyn bocznych do stołu – 1 para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Pdpórki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</w:t>
                  </w:r>
                  <w:proofErr w:type="spellStart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bariatryczne</w:t>
                  </w:r>
                  <w:proofErr w:type="spellEnd"/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 xml:space="preserve"> pod stopy montowane do szyn bocznych z klamrami – 1 para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Uchwyt nadgarstka, montowany do szyny– 2szt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Pozycjoner żelowy kości krzyżowej, wymiar min.450x440x30mm +/-10mm – 2szt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pl"/>
                    </w:rPr>
                    <w:t>Zestaw 3 pozycjonerów w kształcie klina, wodoodporny i łatwo zmywalny materiał  wymiar  – 1kpl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C20133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C20133" w:rsidRDefault="00753369" w:rsidP="00753369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398" w:hanging="39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53369" w:rsidRPr="00C20133" w:rsidRDefault="00753369" w:rsidP="007533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  <w:lang w:val="pl"/>
                    </w:rPr>
                    <w:t xml:space="preserve">Wszystkie akcesoria z seryjnej produkcji. </w:t>
                  </w:r>
                  <w:r w:rsidRPr="00C20133">
                    <w:rPr>
                      <w:rFonts w:ascii="Times New Roman" w:hAnsi="Times New Roman"/>
                      <w:sz w:val="20"/>
                      <w:szCs w:val="20"/>
                      <w:highlight w:val="white"/>
                      <w:lang w:val="pl"/>
                    </w:rPr>
                    <w:t>Potwierdzenie parametrów katalogiem lub kartą produktu.</w:t>
                  </w:r>
                </w:p>
              </w:tc>
              <w:tc>
                <w:tcPr>
                  <w:tcW w:w="1418" w:type="dxa"/>
                </w:tcPr>
                <w:p w:rsidR="00753369" w:rsidRPr="00C20133" w:rsidRDefault="00753369" w:rsidP="0075336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20133">
                    <w:rPr>
                      <w:rFonts w:ascii="Times New Roman" w:hAnsi="Times New Roman"/>
                      <w:sz w:val="20"/>
                      <w:szCs w:val="20"/>
                    </w:rPr>
                    <w:t>TAK, podać</w:t>
                  </w:r>
                </w:p>
              </w:tc>
              <w:tc>
                <w:tcPr>
                  <w:tcW w:w="2267" w:type="dxa"/>
                </w:tcPr>
                <w:p w:rsidR="00753369" w:rsidRPr="00C20133" w:rsidRDefault="00753369" w:rsidP="00753369">
                  <w:pPr>
                    <w:suppressAutoHyphens/>
                    <w:rPr>
                      <w:rFonts w:ascii="Times New Roman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53369" w:rsidRPr="00ED05BB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753369" w:rsidRPr="00ED05BB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D05BB">
                    <w:rPr>
                      <w:b/>
                      <w:sz w:val="18"/>
                      <w:szCs w:val="18"/>
                    </w:rPr>
                    <w:t>B.</w:t>
                  </w:r>
                </w:p>
              </w:tc>
              <w:tc>
                <w:tcPr>
                  <w:tcW w:w="4815" w:type="dxa"/>
                  <w:shd w:val="clear" w:color="auto" w:fill="D9D9D9" w:themeFill="background1" w:themeFillShade="D9"/>
                  <w:vAlign w:val="center"/>
                </w:tcPr>
                <w:p w:rsidR="00753369" w:rsidRPr="00ED05BB" w:rsidRDefault="00753369" w:rsidP="00753369">
                  <w:pPr>
                    <w:tabs>
                      <w:tab w:val="right" w:pos="6838"/>
                    </w:tabs>
                    <w:rPr>
                      <w:sz w:val="18"/>
                      <w:szCs w:val="18"/>
                    </w:rPr>
                  </w:pPr>
                  <w:r w:rsidRPr="00ED05BB">
                    <w:rPr>
                      <w:b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753369" w:rsidRPr="00ED05BB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shd w:val="clear" w:color="auto" w:fill="D9D9D9" w:themeFill="background1" w:themeFillShade="D9"/>
                </w:tcPr>
                <w:p w:rsidR="00753369" w:rsidRPr="00ED05BB" w:rsidRDefault="00753369" w:rsidP="00753369">
                  <w:pPr>
                    <w:suppressAutoHyphens/>
                    <w:rPr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53369" w:rsidRPr="003961C5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3961C5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961C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15" w:type="dxa"/>
                  <w:shd w:val="clear" w:color="auto" w:fill="auto"/>
                  <w:vAlign w:val="center"/>
                </w:tcPr>
                <w:p w:rsidR="00753369" w:rsidRPr="00CD5E0E" w:rsidRDefault="00753369" w:rsidP="0075336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5E0E">
                    <w:rPr>
                      <w:rFonts w:ascii="Times New Roman" w:hAnsi="Times New Roman"/>
                      <w:sz w:val="18"/>
                      <w:szCs w:val="18"/>
                    </w:rPr>
      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      </w:r>
                  <w:r w:rsidRPr="00CD5E0E">
                    <w:rPr>
                      <w:rFonts w:ascii="Times New Roman" w:eastAsia="Calibri" w:hAnsi="Times New Roman"/>
                      <w:sz w:val="18"/>
                      <w:szCs w:val="18"/>
                      <w:shd w:val="clear" w:color="auto" w:fill="FFFFFF"/>
                    </w:rPr>
                    <w:t xml:space="preserve"> wykazu czynności serwisowych, które mogą być wykonywane przez użytkownika samodzielnie nieskutkujące utratą gwarancji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53369" w:rsidRPr="003961C5" w:rsidRDefault="00753369" w:rsidP="00753369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961C5">
                    <w:rPr>
                      <w:rFonts w:ascii="Times New Roman" w:hAnsi="Times New Roman"/>
                      <w:sz w:val="18"/>
                      <w:szCs w:val="18"/>
                    </w:rPr>
                    <w:t>TAK z dostawą</w:t>
                  </w:r>
                </w:p>
              </w:tc>
              <w:tc>
                <w:tcPr>
                  <w:tcW w:w="2267" w:type="dxa"/>
                </w:tcPr>
                <w:p w:rsidR="00753369" w:rsidRPr="003961C5" w:rsidRDefault="00753369" w:rsidP="00753369">
                  <w:pPr>
                    <w:suppressAutoHyphens/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53369" w:rsidRPr="004105DA" w:rsidTr="00753369">
              <w:trPr>
                <w:cantSplit/>
                <w:trHeight w:val="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3369" w:rsidRPr="003961C5" w:rsidRDefault="00753369" w:rsidP="00753369">
                  <w:pPr>
                    <w:tabs>
                      <w:tab w:val="right" w:pos="6838"/>
                    </w:tabs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961C5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815" w:type="dxa"/>
                  <w:shd w:val="clear" w:color="auto" w:fill="auto"/>
                  <w:vAlign w:val="center"/>
                </w:tcPr>
                <w:p w:rsidR="00753369" w:rsidRPr="00CD5E0E" w:rsidRDefault="00753369" w:rsidP="0075336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5E0E">
                    <w:rPr>
                      <w:rFonts w:ascii="Times New Roman" w:hAnsi="Times New Roman"/>
                      <w:sz w:val="18"/>
                      <w:szCs w:val="18"/>
                    </w:rPr>
                    <w:t>Czy producent zaleca wykonywanie przeglądów technicznych?</w:t>
                  </w:r>
                </w:p>
                <w:p w:rsidR="00753369" w:rsidRPr="00CD5E0E" w:rsidRDefault="00753369" w:rsidP="0075336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5E0E">
                    <w:rPr>
                      <w:rFonts w:ascii="Times New Roman" w:hAnsi="Times New Roman"/>
                      <w:sz w:val="18"/>
                      <w:szCs w:val="18"/>
                    </w:rPr>
                    <w:t>Jeżeli TAK podać częstotliwość wykonania przeglądów technicznych zalecanych przez producenta</w:t>
                  </w:r>
                </w:p>
                <w:p w:rsidR="00753369" w:rsidRPr="00CD5E0E" w:rsidRDefault="00753369" w:rsidP="0075336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5E0E">
                    <w:rPr>
                      <w:rFonts w:ascii="Times New Roman" w:hAnsi="Times New Roman"/>
                      <w:sz w:val="18"/>
                      <w:szCs w:val="18"/>
                    </w:rPr>
                    <w:t>W przypadku odpowiedzi TAK:</w:t>
                  </w:r>
                </w:p>
                <w:p w:rsidR="00753369" w:rsidRPr="00CD5E0E" w:rsidRDefault="00753369" w:rsidP="0075336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5E0E">
                    <w:rPr>
                      <w:rFonts w:ascii="Times New Roman" w:hAnsi="Times New Roman"/>
                      <w:sz w:val="18"/>
                      <w:szCs w:val="18"/>
                    </w:rPr>
                    <w:t>Wszystkie przeglądy, naprawy w okresie gwarancji  (części, dojazd, czas pracy serwisu) wliczone w cenę oferty dokonywane w siedzibie zamawiającego.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53369" w:rsidRPr="00CD5E0E" w:rsidRDefault="00753369" w:rsidP="0075336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5E0E">
                    <w:rPr>
                      <w:rFonts w:ascii="Times New Roman" w:hAnsi="Times New Roman"/>
                      <w:sz w:val="18"/>
                      <w:szCs w:val="18"/>
                    </w:rPr>
                    <w:t>TAK/NIE</w:t>
                  </w:r>
                  <w:r w:rsidRPr="003961C5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footnoteReference w:id="5"/>
                  </w:r>
                </w:p>
                <w:p w:rsidR="00753369" w:rsidRPr="00CD5E0E" w:rsidRDefault="00753369" w:rsidP="0075336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5E0E">
                    <w:rPr>
                      <w:rFonts w:ascii="Times New Roman" w:hAnsi="Times New Roman"/>
                      <w:sz w:val="18"/>
                      <w:szCs w:val="18"/>
                    </w:rPr>
                    <w:t>Podać jeśli zalecane</w:t>
                  </w:r>
                </w:p>
              </w:tc>
              <w:tc>
                <w:tcPr>
                  <w:tcW w:w="2267" w:type="dxa"/>
                </w:tcPr>
                <w:p w:rsidR="00753369" w:rsidRPr="00CD5E0E" w:rsidRDefault="00753369" w:rsidP="00753369">
                  <w:pPr>
                    <w:suppressAutoHyphens/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753369" w:rsidRPr="00CD5E0E" w:rsidRDefault="00753369" w:rsidP="00753369">
            <w:pPr>
              <w:suppressAutoHyphens/>
              <w:ind w:firstLine="708"/>
              <w:jc w:val="both"/>
              <w:rPr>
                <w:sz w:val="18"/>
                <w:szCs w:val="18"/>
                <w:lang w:eastAsia="zh-CN"/>
              </w:rPr>
            </w:pPr>
          </w:p>
          <w:p w:rsidR="00753369" w:rsidRPr="00753369" w:rsidRDefault="00753369" w:rsidP="0075336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33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Treść oświadczenia wykonawcy: </w:t>
            </w:r>
          </w:p>
          <w:p w:rsidR="00753369" w:rsidRPr="00753369" w:rsidRDefault="00753369" w:rsidP="00753369">
            <w:pPr>
              <w:numPr>
                <w:ilvl w:val="0"/>
                <w:numId w:val="8"/>
              </w:numPr>
              <w:suppressAutoHyphens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533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Oświadczamy, że przedstawione powyżej dane są prawdziwe oraz zobowiązujemy się w przypadku wygrania postępowania do dostarczenia sprzętu spełniającego wyspecyfikowane parametry.</w:t>
            </w:r>
          </w:p>
          <w:p w:rsidR="00753369" w:rsidRPr="00753369" w:rsidRDefault="00753369" w:rsidP="00753369">
            <w:pPr>
              <w:numPr>
                <w:ilvl w:val="0"/>
                <w:numId w:val="8"/>
              </w:numPr>
              <w:suppressAutoHyphens/>
              <w:ind w:left="357" w:right="119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533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Oświadczamy, że oferowany, powyżej wyspecyfikowany sprzęt jest kompletny i po zainstalowaniu będzie gotowy do eksploatacji, bez żadnych dodatkowych zakupów i inwestycji.</w:t>
            </w:r>
          </w:p>
          <w:p w:rsidR="00753369" w:rsidRPr="00753369" w:rsidRDefault="00753369" w:rsidP="0075336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5336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53369" w:rsidRPr="00753369" w:rsidRDefault="00753369" w:rsidP="00753369">
            <w:pPr>
              <w:ind w:left="357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53369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………............................................................................... </w:t>
            </w:r>
          </w:p>
          <w:p w:rsidR="00753369" w:rsidRPr="00753369" w:rsidRDefault="00753369" w:rsidP="00753369">
            <w:pPr>
              <w:ind w:left="5103"/>
              <w:jc w:val="right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753369">
              <w:rPr>
                <w:rFonts w:ascii="Times New Roman" w:hAnsi="Times New Roman" w:cs="Times New Roman"/>
                <w:i/>
                <w:sz w:val="16"/>
                <w:szCs w:val="20"/>
              </w:rPr>
              <w:t>podpis i  pieczęć  osób wskazanych w dokumencie</w:t>
            </w:r>
          </w:p>
          <w:p w:rsidR="00753369" w:rsidRPr="00753369" w:rsidRDefault="00753369" w:rsidP="00753369">
            <w:pPr>
              <w:jc w:val="right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753369">
              <w:rPr>
                <w:rFonts w:ascii="Times New Roman" w:hAnsi="Times New Roman" w:cs="Times New Roman"/>
                <w:i/>
                <w:sz w:val="16"/>
                <w:szCs w:val="20"/>
              </w:rPr>
              <w:t>uprawniającym do występowania w obrocie prawnym</w:t>
            </w:r>
          </w:p>
          <w:p w:rsidR="00753369" w:rsidRPr="00753369" w:rsidRDefault="00753369" w:rsidP="00753369">
            <w:pPr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75336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             </w:t>
            </w:r>
            <w:r w:rsidRPr="0075336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lub posiadających pełnomocnictwo</w:t>
            </w:r>
          </w:p>
          <w:p w:rsidR="00FC153E" w:rsidRPr="00C849D4" w:rsidRDefault="00FC153E" w:rsidP="0029736F">
            <w:pPr>
              <w:suppressAutoHyphens/>
              <w:ind w:right="1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81B37" w:rsidRDefault="00681B37" w:rsidP="000A3098">
      <w:pPr>
        <w:jc w:val="center"/>
        <w:rPr>
          <w:rFonts w:ascii="Times New Roman" w:hAnsi="Times New Roman" w:cs="Times New Roman"/>
          <w:sz w:val="16"/>
          <w:szCs w:val="16"/>
        </w:rPr>
        <w:sectPr w:rsidR="00681B37" w:rsidSect="00244C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736F" w:rsidRPr="0029736F" w:rsidRDefault="0029736F" w:rsidP="0029736F">
      <w:pPr>
        <w:rPr>
          <w:rFonts w:ascii="Times New Roman" w:hAnsi="Times New Roman" w:cs="Times New Roman"/>
          <w:sz w:val="14"/>
          <w:szCs w:val="14"/>
        </w:rPr>
      </w:pPr>
    </w:p>
    <w:p w:rsidR="00D37F51" w:rsidRDefault="00D37F51" w:rsidP="00D37F51">
      <w:pPr>
        <w:pStyle w:val="Bezodstpw"/>
        <w:rPr>
          <w:rFonts w:ascii="Times New Roman" w:eastAsia="Calibri" w:hAnsi="Times New Roman"/>
          <w:b/>
          <w:u w:val="single"/>
        </w:rPr>
      </w:pPr>
    </w:p>
    <w:sectPr w:rsidR="00D37F51" w:rsidSect="0024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C1" w:rsidRDefault="00AF7BC1" w:rsidP="00C849D4">
      <w:pPr>
        <w:spacing w:after="0" w:line="240" w:lineRule="auto"/>
      </w:pPr>
      <w:r>
        <w:separator/>
      </w:r>
    </w:p>
  </w:endnote>
  <w:endnote w:type="continuationSeparator" w:id="0">
    <w:p w:rsidR="00AF7BC1" w:rsidRDefault="00AF7BC1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C1" w:rsidRDefault="00AF7BC1" w:rsidP="00C849D4">
      <w:pPr>
        <w:spacing w:after="0" w:line="240" w:lineRule="auto"/>
      </w:pPr>
      <w:r>
        <w:separator/>
      </w:r>
    </w:p>
  </w:footnote>
  <w:footnote w:type="continuationSeparator" w:id="0">
    <w:p w:rsidR="00AF7BC1" w:rsidRDefault="00AF7BC1" w:rsidP="00C849D4">
      <w:pPr>
        <w:spacing w:after="0" w:line="240" w:lineRule="auto"/>
      </w:pPr>
      <w:r>
        <w:continuationSeparator/>
      </w:r>
    </w:p>
  </w:footnote>
  <w:footnote w:id="1">
    <w:p w:rsidR="00297AA6" w:rsidRPr="00753369" w:rsidRDefault="00297AA6" w:rsidP="00297AA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53369">
        <w:rPr>
          <w:rFonts w:ascii="Times New Roman" w:eastAsia="Calibri" w:hAnsi="Times New Roman" w:cs="Times New Roman"/>
          <w:b/>
          <w:sz w:val="18"/>
          <w:szCs w:val="18"/>
          <w:u w:val="single"/>
          <w:vertAlign w:val="superscript"/>
        </w:rPr>
        <w:footnoteRef/>
      </w:r>
      <w:r w:rsidRPr="00753369"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 UWAGA! Jeżeli poszczególne elementy posiadają różne stawki % VAT, należy wpisać wartości oddzielnie dla każdej stawki</w:t>
      </w:r>
    </w:p>
  </w:footnote>
  <w:footnote w:id="2">
    <w:p w:rsidR="00753369" w:rsidRPr="00753369" w:rsidRDefault="00753369">
      <w:pPr>
        <w:pStyle w:val="Tekstprzypisudolnego"/>
        <w:rPr>
          <w:rFonts w:ascii="Times New Roman" w:hAnsi="Times New Roman" w:cs="Times New Roman"/>
        </w:rPr>
      </w:pPr>
      <w:r w:rsidRPr="00753369">
        <w:rPr>
          <w:rStyle w:val="Odwoanieprzypisudolnego"/>
          <w:rFonts w:ascii="Times New Roman" w:hAnsi="Times New Roman" w:cs="Times New Roman"/>
        </w:rPr>
        <w:footnoteRef/>
      </w:r>
      <w:r w:rsidRPr="00753369">
        <w:rPr>
          <w:rFonts w:ascii="Times New Roman" w:hAnsi="Times New Roman" w:cs="Times New Roman"/>
        </w:rPr>
        <w:t xml:space="preserve"> </w:t>
      </w:r>
      <w:r w:rsidRPr="00753369">
        <w:rPr>
          <w:rFonts w:ascii="Times New Roman" w:hAnsi="Times New Roman" w:cs="Times New Roman"/>
        </w:rPr>
        <w:t>Odpowiedź NIE w przypadku parametrów wymaganych  powoduje odrzucenie oferty</w:t>
      </w:r>
    </w:p>
  </w:footnote>
  <w:footnote w:id="3">
    <w:p w:rsidR="00753369" w:rsidRDefault="00753369" w:rsidP="0075336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4">
    <w:p w:rsidR="00753369" w:rsidRDefault="00753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3369">
        <w:rPr>
          <w:rFonts w:ascii="Times New Roman" w:hAnsi="Times New Roman" w:cs="Times New Roman"/>
        </w:rPr>
        <w:t>Odpowiedź NIE w przypadku parametrów wymaganych  powoduje odrzucenie oferty</w:t>
      </w:r>
    </w:p>
  </w:footnote>
  <w:footnote w:id="5">
    <w:p w:rsidR="00753369" w:rsidRDefault="00753369" w:rsidP="0075336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792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4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852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72DF1585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39E4FD8"/>
    <w:multiLevelType w:val="hybridMultilevel"/>
    <w:tmpl w:val="8D1600D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777B0D07"/>
    <w:multiLevelType w:val="hybridMultilevel"/>
    <w:tmpl w:val="178E18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65"/>
    <w:rsid w:val="000151EC"/>
    <w:rsid w:val="00054AA2"/>
    <w:rsid w:val="001860F7"/>
    <w:rsid w:val="001E45BE"/>
    <w:rsid w:val="001E5FE7"/>
    <w:rsid w:val="001F10AB"/>
    <w:rsid w:val="0024177D"/>
    <w:rsid w:val="00244C6F"/>
    <w:rsid w:val="0029736F"/>
    <w:rsid w:val="00297AA6"/>
    <w:rsid w:val="002E3E88"/>
    <w:rsid w:val="00412C3A"/>
    <w:rsid w:val="00462585"/>
    <w:rsid w:val="00572996"/>
    <w:rsid w:val="005A13D5"/>
    <w:rsid w:val="005C7849"/>
    <w:rsid w:val="005E6CD2"/>
    <w:rsid w:val="00603AEA"/>
    <w:rsid w:val="0065125E"/>
    <w:rsid w:val="00681B37"/>
    <w:rsid w:val="006C2D01"/>
    <w:rsid w:val="006E0065"/>
    <w:rsid w:val="00705E71"/>
    <w:rsid w:val="00753369"/>
    <w:rsid w:val="007A48F5"/>
    <w:rsid w:val="007C510B"/>
    <w:rsid w:val="0086371D"/>
    <w:rsid w:val="008F37F0"/>
    <w:rsid w:val="00914FD6"/>
    <w:rsid w:val="00966D98"/>
    <w:rsid w:val="00984C94"/>
    <w:rsid w:val="00987122"/>
    <w:rsid w:val="0099035D"/>
    <w:rsid w:val="00996DE2"/>
    <w:rsid w:val="009A1BB5"/>
    <w:rsid w:val="00A1270F"/>
    <w:rsid w:val="00AA1745"/>
    <w:rsid w:val="00AF7BC1"/>
    <w:rsid w:val="00BA4D75"/>
    <w:rsid w:val="00BE51DC"/>
    <w:rsid w:val="00BF1421"/>
    <w:rsid w:val="00C849D4"/>
    <w:rsid w:val="00CB0C97"/>
    <w:rsid w:val="00CC2107"/>
    <w:rsid w:val="00CD2987"/>
    <w:rsid w:val="00CE2C65"/>
    <w:rsid w:val="00CF6F9B"/>
    <w:rsid w:val="00D37F51"/>
    <w:rsid w:val="00D91354"/>
    <w:rsid w:val="00D931FB"/>
    <w:rsid w:val="00E17938"/>
    <w:rsid w:val="00E9772D"/>
    <w:rsid w:val="00EC589A"/>
    <w:rsid w:val="00EF2AAD"/>
    <w:rsid w:val="00F11190"/>
    <w:rsid w:val="00F52EC0"/>
    <w:rsid w:val="00FC153E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91B1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1"/>
    <w:qFormat/>
    <w:rsid w:val="00F52EC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52EC0"/>
    <w:rPr>
      <w:rFonts w:cs="Times New Roman"/>
      <w:sz w:val="24"/>
      <w:szCs w:val="24"/>
      <w:lang w:val="en-US" w:bidi="en-US"/>
    </w:rPr>
  </w:style>
  <w:style w:type="paragraph" w:customStyle="1" w:styleId="Default">
    <w:name w:val="Default"/>
    <w:rsid w:val="00FC1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6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9035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q4iawc">
    <w:name w:val="q4iawc"/>
    <w:rsid w:val="0029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D918-B820-4ED3-A8E0-8ED726BA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2842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29</cp:revision>
  <cp:lastPrinted>2024-03-12T07:24:00Z</cp:lastPrinted>
  <dcterms:created xsi:type="dcterms:W3CDTF">2021-03-18T09:29:00Z</dcterms:created>
  <dcterms:modified xsi:type="dcterms:W3CDTF">2024-03-26T11:28:00Z</dcterms:modified>
</cp:coreProperties>
</file>