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35B" w:rsidRDefault="0059535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6D44AD" w:rsidRPr="008D3CAD" w:rsidTr="0059535B">
        <w:tc>
          <w:tcPr>
            <w:tcW w:w="3490" w:type="dxa"/>
          </w:tcPr>
          <w:p w:rsidR="006D44AD" w:rsidRPr="008D3CAD" w:rsidRDefault="006D44AD" w:rsidP="006D44AD">
            <w:pPr>
              <w:jc w:val="center"/>
            </w:pPr>
            <w:r w:rsidRPr="008D3CAD">
              <w:t>…………………………………..</w:t>
            </w:r>
          </w:p>
          <w:p w:rsidR="006D44AD" w:rsidRPr="008D3CAD" w:rsidRDefault="006D44AD" w:rsidP="006D44AD">
            <w:pPr>
              <w:jc w:val="center"/>
              <w:rPr>
                <w:b/>
                <w:sz w:val="16"/>
                <w:szCs w:val="16"/>
              </w:rPr>
            </w:pPr>
            <w:r w:rsidRPr="008D3CAD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676" w:type="dxa"/>
          </w:tcPr>
          <w:p w:rsidR="006D44AD" w:rsidRPr="008D3CAD" w:rsidRDefault="006D44AD" w:rsidP="006D44AD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6D44AD" w:rsidRPr="008D3CAD" w:rsidRDefault="006D44AD" w:rsidP="006D44AD">
            <w:pPr>
              <w:jc w:val="right"/>
              <w:rPr>
                <w:b/>
              </w:rPr>
            </w:pPr>
            <w:r w:rsidRPr="008D3CAD">
              <w:rPr>
                <w:b/>
              </w:rPr>
              <w:t>Załącznik nr 2 do SWZ</w:t>
            </w:r>
          </w:p>
        </w:tc>
      </w:tr>
      <w:tr w:rsidR="006D44AD" w:rsidRPr="008D3CAD" w:rsidTr="0059535B">
        <w:tc>
          <w:tcPr>
            <w:tcW w:w="9072" w:type="dxa"/>
            <w:gridSpan w:val="3"/>
          </w:tcPr>
          <w:p w:rsidR="006D44AD" w:rsidRPr="008D3CAD" w:rsidRDefault="006D44AD" w:rsidP="006D44AD">
            <w:pPr>
              <w:jc w:val="center"/>
              <w:rPr>
                <w:u w:val="single"/>
              </w:rPr>
            </w:pPr>
          </w:p>
          <w:p w:rsidR="006D44AD" w:rsidRDefault="006D44AD" w:rsidP="00803C11">
            <w:pPr>
              <w:jc w:val="both"/>
              <w:rPr>
                <w:u w:val="single"/>
              </w:rPr>
            </w:pPr>
            <w:r w:rsidRPr="007C4C70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 xml:space="preserve">echokardiografu </w:t>
            </w:r>
            <w:r w:rsidR="00803C11" w:rsidRPr="00803C11">
              <w:rPr>
                <w:u w:val="single"/>
              </w:rPr>
              <w:t xml:space="preserve">z funkcją echokardiografii przezprzełykowej wraz z  zewnętrzną stacją roboczą z oprogramowaniem do analizy badań echokardiograficznych - 1 </w:t>
            </w:r>
            <w:proofErr w:type="spellStart"/>
            <w:r w:rsidR="00803C11" w:rsidRPr="00803C11">
              <w:rPr>
                <w:u w:val="single"/>
              </w:rPr>
              <w:t>kpl</w:t>
            </w:r>
            <w:proofErr w:type="spellEnd"/>
            <w:r w:rsidR="00803C11">
              <w:rPr>
                <w:u w:val="single"/>
              </w:rPr>
              <w:t>.</w:t>
            </w:r>
            <w:r w:rsidRPr="007C4C70">
              <w:rPr>
                <w:u w:val="single"/>
              </w:rPr>
              <w:t>, znak sprawy: 4WSzKzP.SZP.2612.</w:t>
            </w:r>
            <w:r>
              <w:rPr>
                <w:u w:val="single"/>
              </w:rPr>
              <w:t>1</w:t>
            </w:r>
            <w:r w:rsidR="00803C11">
              <w:rPr>
                <w:u w:val="single"/>
              </w:rPr>
              <w:t>37</w:t>
            </w:r>
            <w:r w:rsidRPr="007C4C70">
              <w:rPr>
                <w:u w:val="single"/>
              </w:rPr>
              <w:t>.2024</w:t>
            </w:r>
          </w:p>
          <w:p w:rsidR="0059535B" w:rsidRPr="007C4C70" w:rsidRDefault="0059535B" w:rsidP="00803C11">
            <w:pPr>
              <w:jc w:val="both"/>
              <w:rPr>
                <w:u w:val="single"/>
              </w:rPr>
            </w:pPr>
            <w:bookmarkStart w:id="0" w:name="_GoBack"/>
            <w:bookmarkEnd w:id="0"/>
          </w:p>
          <w:p w:rsidR="006D44AD" w:rsidRPr="008D3CAD" w:rsidRDefault="006D44AD" w:rsidP="006D44AD">
            <w:pPr>
              <w:jc w:val="center"/>
              <w:rPr>
                <w:b/>
              </w:rPr>
            </w:pPr>
          </w:p>
        </w:tc>
      </w:tr>
      <w:tr w:rsidR="006D44AD" w:rsidRPr="008D3CAD" w:rsidTr="0059535B">
        <w:tc>
          <w:tcPr>
            <w:tcW w:w="9072" w:type="dxa"/>
            <w:gridSpan w:val="3"/>
          </w:tcPr>
          <w:p w:rsidR="006D44AD" w:rsidRPr="00836E32" w:rsidRDefault="006D44AD" w:rsidP="006D44AD">
            <w:pPr>
              <w:jc w:val="center"/>
              <w:rPr>
                <w:b/>
                <w:u w:val="single"/>
              </w:rPr>
            </w:pPr>
            <w:r w:rsidRPr="00836E32">
              <w:rPr>
                <w:b/>
                <w:u w:val="single"/>
              </w:rPr>
              <w:t>FORMULARZ CENOWY</w:t>
            </w:r>
          </w:p>
          <w:p w:rsidR="006D44AD" w:rsidRPr="008D3CAD" w:rsidRDefault="006D44AD" w:rsidP="006D44AD">
            <w:pPr>
              <w:jc w:val="right"/>
              <w:rPr>
                <w:b/>
              </w:rPr>
            </w:pPr>
          </w:p>
        </w:tc>
      </w:tr>
      <w:tr w:rsidR="006D44AD" w:rsidRPr="008D3CAD" w:rsidTr="0059535B">
        <w:tc>
          <w:tcPr>
            <w:tcW w:w="9072" w:type="dxa"/>
            <w:gridSpan w:val="3"/>
          </w:tcPr>
          <w:p w:rsidR="006D44AD" w:rsidRPr="008D3CAD" w:rsidRDefault="006D44AD" w:rsidP="006D44AD">
            <w:pPr>
              <w:jc w:val="center"/>
              <w:rPr>
                <w:iCs/>
                <w:sz w:val="20"/>
                <w:szCs w:val="20"/>
              </w:rPr>
            </w:pPr>
            <w:r w:rsidRPr="008D3CAD">
              <w:rPr>
                <w:sz w:val="20"/>
                <w:szCs w:val="20"/>
              </w:rPr>
              <w:t>C</w:t>
            </w:r>
            <w:r w:rsidRPr="008D3CAD">
              <w:rPr>
                <w:iCs/>
                <w:sz w:val="20"/>
                <w:szCs w:val="20"/>
              </w:rPr>
              <w:t>enę brutto (zł), będącą podstawą do wyliczenia punktów za cenę otrzymujemy ze wzoru: Wartość jednostkowa netto (zł) razy Ilość  – daje Wartość netto (zł), z której to wartości liczymy podatek VAT i po dodaniu podatku VAT do wartości netto otrzymujemy Cenę brutto (zł).</w:t>
            </w:r>
          </w:p>
          <w:p w:rsidR="006D44AD" w:rsidRPr="008D3CAD" w:rsidRDefault="006D44AD" w:rsidP="006D44A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14C87" w:rsidRPr="00D2353C" w:rsidRDefault="00914C87" w:rsidP="00914C87"/>
    <w:tbl>
      <w:tblPr>
        <w:tblW w:w="1052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4652"/>
        <w:gridCol w:w="618"/>
        <w:gridCol w:w="1134"/>
        <w:gridCol w:w="1156"/>
        <w:gridCol w:w="1040"/>
        <w:gridCol w:w="1182"/>
      </w:tblGrid>
      <w:tr w:rsidR="00803C11" w:rsidRPr="00D2353C" w:rsidTr="00673D57">
        <w:trPr>
          <w:trHeight w:val="20"/>
        </w:trPr>
        <w:tc>
          <w:tcPr>
            <w:tcW w:w="739" w:type="dxa"/>
            <w:shd w:val="clear" w:color="000000" w:fill="C6EFCE"/>
            <w:vAlign w:val="center"/>
          </w:tcPr>
          <w:p w:rsidR="00803C11" w:rsidRPr="00D2353C" w:rsidRDefault="00803C11" w:rsidP="00673D5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652" w:type="dxa"/>
            <w:shd w:val="clear" w:color="000000" w:fill="C6EFCE"/>
            <w:vAlign w:val="center"/>
            <w:hideMark/>
          </w:tcPr>
          <w:p w:rsidR="00803C11" w:rsidRPr="00D2353C" w:rsidRDefault="00803C11" w:rsidP="00673D57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Nazwa asortymentu</w:t>
            </w:r>
          </w:p>
        </w:tc>
        <w:tc>
          <w:tcPr>
            <w:tcW w:w="618" w:type="dxa"/>
            <w:shd w:val="clear" w:color="000000" w:fill="C6EFCE"/>
            <w:vAlign w:val="center"/>
          </w:tcPr>
          <w:p w:rsidR="00803C11" w:rsidRPr="00D2353C" w:rsidRDefault="00803C11" w:rsidP="00673D57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Ilość [</w:t>
            </w:r>
            <w:proofErr w:type="spellStart"/>
            <w:r w:rsidRPr="00D2353C">
              <w:rPr>
                <w:bCs/>
                <w:sz w:val="20"/>
                <w:szCs w:val="20"/>
              </w:rPr>
              <w:t>kpl</w:t>
            </w:r>
            <w:proofErr w:type="spellEnd"/>
            <w:r w:rsidRPr="00D2353C">
              <w:rPr>
                <w:bCs/>
                <w:sz w:val="20"/>
                <w:szCs w:val="20"/>
              </w:rPr>
              <w:t>.]</w:t>
            </w:r>
          </w:p>
        </w:tc>
        <w:tc>
          <w:tcPr>
            <w:tcW w:w="1134" w:type="dxa"/>
            <w:shd w:val="clear" w:color="000000" w:fill="C6EFCE"/>
            <w:vAlign w:val="center"/>
            <w:hideMark/>
          </w:tcPr>
          <w:p w:rsidR="00803C11" w:rsidRPr="00D2353C" w:rsidRDefault="00803C11" w:rsidP="00673D57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cena netto /</w:t>
            </w:r>
            <w:proofErr w:type="spellStart"/>
            <w:r w:rsidRPr="00D2353C">
              <w:rPr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156" w:type="dxa"/>
            <w:shd w:val="clear" w:color="000000" w:fill="C6EFCE"/>
            <w:vAlign w:val="center"/>
            <w:hideMark/>
          </w:tcPr>
          <w:p w:rsidR="00803C11" w:rsidRPr="00D2353C" w:rsidRDefault="00803C11" w:rsidP="00673D57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netto [zł]</w:t>
            </w:r>
          </w:p>
        </w:tc>
        <w:tc>
          <w:tcPr>
            <w:tcW w:w="1040" w:type="dxa"/>
            <w:shd w:val="clear" w:color="000000" w:fill="C6EFCE"/>
            <w:vAlign w:val="center"/>
          </w:tcPr>
          <w:p w:rsidR="00803C11" w:rsidRPr="00D2353C" w:rsidRDefault="00803C11" w:rsidP="00673D57">
            <w:pPr>
              <w:jc w:val="center"/>
              <w:rPr>
                <w:bCs/>
                <w:sz w:val="20"/>
                <w:szCs w:val="20"/>
              </w:rPr>
            </w:pPr>
            <w:r w:rsidRPr="00E447ED">
              <w:rPr>
                <w:bCs/>
                <w:sz w:val="20"/>
                <w:szCs w:val="20"/>
              </w:rPr>
              <w:t>VAT</w:t>
            </w:r>
            <w:r>
              <w:rPr>
                <w:rStyle w:val="Odwoanieprzypisudolnego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182" w:type="dxa"/>
            <w:shd w:val="clear" w:color="000000" w:fill="C6EFCE"/>
            <w:vAlign w:val="center"/>
            <w:hideMark/>
          </w:tcPr>
          <w:p w:rsidR="00803C11" w:rsidRPr="00D2353C" w:rsidRDefault="00803C11" w:rsidP="00673D57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brutto</w:t>
            </w:r>
          </w:p>
          <w:p w:rsidR="00803C11" w:rsidRPr="00D2353C" w:rsidRDefault="00803C11" w:rsidP="00673D57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[zł]</w:t>
            </w:r>
          </w:p>
        </w:tc>
      </w:tr>
      <w:tr w:rsidR="00803C11" w:rsidRPr="002536D9" w:rsidTr="00673D57">
        <w:trPr>
          <w:trHeight w:val="20"/>
        </w:trPr>
        <w:tc>
          <w:tcPr>
            <w:tcW w:w="739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2536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rPr>
                <w:sz w:val="20"/>
                <w:szCs w:val="20"/>
              </w:rPr>
            </w:pPr>
            <w:bookmarkStart w:id="1" w:name="_Hlk179794196"/>
            <w:r w:rsidRPr="0077268F">
              <w:rPr>
                <w:sz w:val="20"/>
                <w:szCs w:val="20"/>
              </w:rPr>
              <w:t>Echokardiograf z funkcją echokardiografii przezprzełykowej</w:t>
            </w:r>
            <w:r>
              <w:rPr>
                <w:sz w:val="20"/>
                <w:szCs w:val="20"/>
              </w:rPr>
              <w:t xml:space="preserve"> z wyposażeniem</w:t>
            </w:r>
            <w:bookmarkEnd w:id="1"/>
          </w:p>
        </w:tc>
        <w:tc>
          <w:tcPr>
            <w:tcW w:w="618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 xml:space="preserve">1 </w:t>
            </w:r>
            <w:proofErr w:type="spellStart"/>
            <w:r w:rsidRPr="002536D9">
              <w:rPr>
                <w:sz w:val="20"/>
                <w:szCs w:val="20"/>
              </w:rPr>
              <w:t>kpl</w:t>
            </w:r>
            <w:proofErr w:type="spellEnd"/>
            <w:r w:rsidRPr="002536D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803C11" w:rsidRPr="002536D9" w:rsidTr="00673D57">
        <w:trPr>
          <w:trHeight w:val="20"/>
        </w:trPr>
        <w:tc>
          <w:tcPr>
            <w:tcW w:w="739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803C11" w:rsidRPr="0077268F" w:rsidRDefault="00803C11" w:rsidP="00673D57">
            <w:pPr>
              <w:spacing w:before="120" w:after="120"/>
              <w:rPr>
                <w:sz w:val="20"/>
                <w:szCs w:val="20"/>
              </w:rPr>
            </w:pPr>
            <w:r w:rsidRPr="002C4B2C">
              <w:rPr>
                <w:sz w:val="20"/>
                <w:szCs w:val="20"/>
              </w:rPr>
              <w:t>zewnętrzn</w:t>
            </w:r>
            <w:r>
              <w:rPr>
                <w:sz w:val="20"/>
                <w:szCs w:val="20"/>
              </w:rPr>
              <w:t>a</w:t>
            </w:r>
            <w:r w:rsidRPr="002C4B2C">
              <w:rPr>
                <w:sz w:val="20"/>
                <w:szCs w:val="20"/>
              </w:rPr>
              <w:t xml:space="preserve"> stacj</w:t>
            </w:r>
            <w:r>
              <w:rPr>
                <w:sz w:val="20"/>
                <w:szCs w:val="20"/>
              </w:rPr>
              <w:t>a</w:t>
            </w:r>
            <w:r w:rsidRPr="002C4B2C">
              <w:rPr>
                <w:sz w:val="20"/>
                <w:szCs w:val="20"/>
              </w:rPr>
              <w:t xml:space="preserve"> robocz</w:t>
            </w:r>
            <w:r>
              <w:rPr>
                <w:sz w:val="20"/>
                <w:szCs w:val="20"/>
              </w:rPr>
              <w:t>a</w:t>
            </w:r>
            <w:r w:rsidRPr="002C4B2C">
              <w:rPr>
                <w:sz w:val="20"/>
                <w:szCs w:val="20"/>
              </w:rPr>
              <w:t xml:space="preserve"> z oprogramowaniem do analizy badań echokardiograficznych</w:t>
            </w:r>
          </w:p>
        </w:tc>
        <w:tc>
          <w:tcPr>
            <w:tcW w:w="618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2C4B2C">
              <w:rPr>
                <w:sz w:val="20"/>
                <w:szCs w:val="20"/>
              </w:rPr>
              <w:t xml:space="preserve">1 </w:t>
            </w:r>
            <w:proofErr w:type="spellStart"/>
            <w:r w:rsidRPr="002C4B2C">
              <w:rPr>
                <w:sz w:val="20"/>
                <w:szCs w:val="20"/>
              </w:rPr>
              <w:t>kpl</w:t>
            </w:r>
            <w:proofErr w:type="spellEnd"/>
            <w:r w:rsidRPr="002C4B2C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803C11" w:rsidRPr="002536D9" w:rsidTr="00673D57">
        <w:trPr>
          <w:trHeight w:val="20"/>
        </w:trPr>
        <w:tc>
          <w:tcPr>
            <w:tcW w:w="739" w:type="dxa"/>
            <w:shd w:val="clear" w:color="auto" w:fill="auto"/>
            <w:vAlign w:val="center"/>
          </w:tcPr>
          <w:p w:rsidR="00803C11" w:rsidRDefault="00803C11" w:rsidP="00673D57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803C11" w:rsidRPr="002C4B2C" w:rsidRDefault="00803C11" w:rsidP="00673D57">
            <w:pPr>
              <w:spacing w:before="120" w:after="120"/>
              <w:rPr>
                <w:sz w:val="20"/>
                <w:szCs w:val="20"/>
              </w:rPr>
            </w:pPr>
            <w:r w:rsidRPr="001F218C">
              <w:rPr>
                <w:sz w:val="20"/>
                <w:szCs w:val="20"/>
              </w:rPr>
              <w:t>Koszty dostawy, zainstalowania sprzętu, serwisowania sprzętu (w przypadku zaoferowania gwarancji dłuższej niż gwarancja producenta) i przeszkolenia personelu w zakresie obsługi sprzętu</w:t>
            </w:r>
          </w:p>
        </w:tc>
        <w:tc>
          <w:tcPr>
            <w:tcW w:w="618" w:type="dxa"/>
            <w:shd w:val="clear" w:color="auto" w:fill="auto"/>
            <w:vAlign w:val="center"/>
          </w:tcPr>
          <w:p w:rsidR="00803C11" w:rsidRPr="002C4B2C" w:rsidRDefault="00803C11" w:rsidP="00673D5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1F218C">
              <w:rPr>
                <w:sz w:val="20"/>
                <w:szCs w:val="20"/>
              </w:rPr>
              <w:t xml:space="preserve">1 </w:t>
            </w:r>
            <w:proofErr w:type="spellStart"/>
            <w:r w:rsidRPr="001F218C">
              <w:rPr>
                <w:sz w:val="20"/>
                <w:szCs w:val="20"/>
              </w:rPr>
              <w:t>kpl</w:t>
            </w:r>
            <w:proofErr w:type="spellEnd"/>
            <w:r w:rsidRPr="001F218C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803C11" w:rsidRPr="002536D9" w:rsidRDefault="00803C11" w:rsidP="00673D57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803C11" w:rsidRPr="00D2353C" w:rsidTr="00673D57">
        <w:trPr>
          <w:trHeight w:val="20"/>
        </w:trPr>
        <w:tc>
          <w:tcPr>
            <w:tcW w:w="7143" w:type="dxa"/>
            <w:gridSpan w:val="4"/>
            <w:shd w:val="clear" w:color="auto" w:fill="auto"/>
            <w:vAlign w:val="center"/>
          </w:tcPr>
          <w:p w:rsidR="00803C11" w:rsidRPr="00D2353C" w:rsidRDefault="00803C11" w:rsidP="00673D57">
            <w:pPr>
              <w:jc w:val="right"/>
              <w:rPr>
                <w:b/>
                <w:sz w:val="20"/>
                <w:szCs w:val="20"/>
              </w:rPr>
            </w:pPr>
            <w:r w:rsidRPr="00D2353C">
              <w:rPr>
                <w:b/>
                <w:sz w:val="20"/>
                <w:szCs w:val="20"/>
              </w:rPr>
              <w:t>RAZEM CAŁOŚĆ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03C11" w:rsidRPr="00D2353C" w:rsidRDefault="00803C11" w:rsidP="00673D57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803C11" w:rsidRPr="00D2353C" w:rsidRDefault="00803C11" w:rsidP="00673D5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803C11" w:rsidRPr="00D2353C" w:rsidRDefault="00803C11" w:rsidP="00673D57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914C87" w:rsidRDefault="00914C87" w:rsidP="00914C87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803C11" w:rsidRDefault="00803C11" w:rsidP="00914C87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803C11" w:rsidRDefault="00803C11" w:rsidP="00914C87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803C11" w:rsidRPr="00D2353C" w:rsidRDefault="00803C11" w:rsidP="00803C11">
      <w:pPr>
        <w:spacing w:after="120"/>
        <w:ind w:left="360"/>
        <w:jc w:val="right"/>
        <w:rPr>
          <w:color w:val="000000"/>
          <w:sz w:val="20"/>
          <w:szCs w:val="20"/>
        </w:rPr>
      </w:pPr>
      <w:r w:rsidRPr="00D2353C">
        <w:rPr>
          <w:color w:val="000000"/>
          <w:sz w:val="20"/>
          <w:szCs w:val="20"/>
        </w:rPr>
        <w:t xml:space="preserve">………............................................................................... </w:t>
      </w:r>
    </w:p>
    <w:p w:rsidR="00803C11" w:rsidRPr="00D2353C" w:rsidRDefault="00803C11" w:rsidP="00803C11">
      <w:pPr>
        <w:ind w:left="5103"/>
        <w:jc w:val="center"/>
        <w:rPr>
          <w:sz w:val="16"/>
          <w:szCs w:val="16"/>
        </w:rPr>
      </w:pPr>
      <w:r w:rsidRPr="00D2353C">
        <w:rPr>
          <w:sz w:val="16"/>
          <w:szCs w:val="16"/>
        </w:rPr>
        <w:t>podpis i  pieczęć  osób wskazanych w dokumencie</w:t>
      </w:r>
    </w:p>
    <w:p w:rsidR="00803C11" w:rsidRPr="00D2353C" w:rsidRDefault="00803C11" w:rsidP="00803C11">
      <w:pPr>
        <w:ind w:left="5103"/>
        <w:jc w:val="center"/>
        <w:rPr>
          <w:sz w:val="16"/>
          <w:szCs w:val="16"/>
        </w:rPr>
      </w:pPr>
      <w:r w:rsidRPr="00D2353C">
        <w:rPr>
          <w:sz w:val="16"/>
          <w:szCs w:val="16"/>
        </w:rPr>
        <w:t>uprawniającym do występowania w obrocie prawnym lub posiadających pełnomocnictw</w:t>
      </w:r>
    </w:p>
    <w:p w:rsidR="00803C11" w:rsidRPr="00D2353C" w:rsidRDefault="00803C11" w:rsidP="00914C87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914C87" w:rsidRPr="00D2353C" w:rsidRDefault="00914C87" w:rsidP="00914C87">
      <w:pPr>
        <w:spacing w:after="120"/>
        <w:ind w:left="360"/>
        <w:jc w:val="right"/>
        <w:rPr>
          <w:color w:val="000000"/>
          <w:sz w:val="20"/>
          <w:szCs w:val="20"/>
        </w:rPr>
      </w:pPr>
    </w:p>
    <w:p w:rsidR="00883E94" w:rsidRDefault="00883E94" w:rsidP="00883E94">
      <w:pPr>
        <w:tabs>
          <w:tab w:val="right" w:leader="dot" w:pos="8789"/>
        </w:tabs>
        <w:ind w:left="357"/>
        <w:jc w:val="both"/>
        <w:rPr>
          <w:b/>
          <w:sz w:val="22"/>
          <w:szCs w:val="22"/>
        </w:rPr>
      </w:pPr>
    </w:p>
    <w:p w:rsidR="00914C87" w:rsidRPr="00D2353C" w:rsidRDefault="00914C87">
      <w:pPr>
        <w:spacing w:after="200" w:line="276" w:lineRule="auto"/>
        <w:rPr>
          <w:b/>
          <w:bCs/>
          <w:sz w:val="22"/>
          <w:szCs w:val="22"/>
          <w:u w:val="single"/>
          <w:lang w:eastAsia="zh-CN"/>
        </w:rPr>
      </w:pPr>
      <w:r w:rsidRPr="00D2353C">
        <w:rPr>
          <w:b/>
          <w:bCs/>
          <w:sz w:val="22"/>
          <w:szCs w:val="22"/>
          <w:u w:val="single"/>
          <w:lang w:eastAsia="zh-CN"/>
        </w:rPr>
        <w:br w:type="page"/>
      </w:r>
    </w:p>
    <w:p w:rsidR="00CE23C7" w:rsidRPr="00D2353C" w:rsidRDefault="00CE23C7" w:rsidP="00CE23C7">
      <w:pPr>
        <w:ind w:left="360"/>
        <w:contextualSpacing/>
        <w:jc w:val="center"/>
        <w:rPr>
          <w:rFonts w:eastAsia="Calibri"/>
          <w:b/>
          <w:u w:val="single"/>
        </w:rPr>
      </w:pPr>
      <w:r w:rsidRPr="00D2353C">
        <w:rPr>
          <w:rFonts w:eastAsia="Calibri"/>
          <w:b/>
          <w:u w:val="single"/>
        </w:rPr>
        <w:lastRenderedPageBreak/>
        <w:t>PARAMETRY TECHNICZNE</w:t>
      </w:r>
    </w:p>
    <w:p w:rsidR="00ED05BB" w:rsidRDefault="00ED05BB" w:rsidP="00ED05BB">
      <w:pPr>
        <w:spacing w:after="200" w:line="276" w:lineRule="auto"/>
        <w:jc w:val="center"/>
        <w:rPr>
          <w:b/>
          <w:bCs/>
          <w:sz w:val="22"/>
          <w:szCs w:val="22"/>
          <w:u w:val="single"/>
          <w:lang w:eastAsia="zh-CN"/>
        </w:rPr>
      </w:pPr>
    </w:p>
    <w:p w:rsidR="00803C11" w:rsidRPr="0080387A" w:rsidRDefault="00803C11" w:rsidP="00803C11">
      <w:pPr>
        <w:spacing w:after="200" w:line="276" w:lineRule="auto"/>
        <w:jc w:val="center"/>
        <w:rPr>
          <w:b/>
          <w:bCs/>
          <w:u w:val="single"/>
          <w:lang w:eastAsia="zh-CN"/>
        </w:rPr>
      </w:pPr>
      <w:r w:rsidRPr="0080387A">
        <w:rPr>
          <w:b/>
          <w:u w:val="single"/>
        </w:rPr>
        <w:t>Echokardiograf z funkcją echokardiografii przezprzełykowej z wyposażeniem</w:t>
      </w:r>
      <w:r w:rsidRPr="0080387A">
        <w:rPr>
          <w:b/>
          <w:bCs/>
          <w:u w:val="single"/>
          <w:lang w:eastAsia="zh-CN"/>
        </w:rPr>
        <w:t xml:space="preserve"> – 1 </w:t>
      </w:r>
      <w:proofErr w:type="spellStart"/>
      <w:r w:rsidRPr="0080387A">
        <w:rPr>
          <w:b/>
          <w:bCs/>
          <w:u w:val="single"/>
          <w:lang w:eastAsia="zh-CN"/>
        </w:rPr>
        <w:t>kpl</w:t>
      </w:r>
      <w:proofErr w:type="spellEnd"/>
      <w:r w:rsidRPr="0080387A">
        <w:rPr>
          <w:b/>
          <w:bCs/>
          <w:u w:val="single"/>
          <w:lang w:eastAsia="zh-CN"/>
        </w:rPr>
        <w:t>.</w:t>
      </w: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ED05BB">
        <w:rPr>
          <w:b/>
          <w:bCs/>
          <w:sz w:val="22"/>
          <w:szCs w:val="22"/>
          <w:lang w:eastAsia="zh-CN"/>
        </w:rPr>
        <w:t>Wykonawca:</w:t>
      </w:r>
      <w:r w:rsidRPr="00ED05BB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ED05BB">
        <w:rPr>
          <w:b/>
          <w:bCs/>
          <w:sz w:val="22"/>
          <w:szCs w:val="22"/>
          <w:lang w:eastAsia="zh-CN"/>
        </w:rPr>
        <w:t>Nazwa i typ:</w:t>
      </w:r>
      <w:r w:rsidRPr="00ED05BB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  <w:r w:rsidRPr="00ED05BB">
        <w:rPr>
          <w:b/>
          <w:bCs/>
          <w:sz w:val="22"/>
          <w:szCs w:val="22"/>
          <w:lang w:eastAsia="zh-CN"/>
        </w:rPr>
        <w:t>Producent/ Kraj :</w:t>
      </w:r>
      <w:r w:rsidRPr="00ED05BB">
        <w:rPr>
          <w:b/>
          <w:bCs/>
          <w:sz w:val="22"/>
          <w:szCs w:val="22"/>
          <w:lang w:eastAsia="zh-CN"/>
        </w:rPr>
        <w:tab/>
        <w:t>……………………………………………</w:t>
      </w: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sz w:val="22"/>
          <w:szCs w:val="22"/>
          <w:lang w:eastAsia="zh-CN"/>
        </w:rPr>
      </w:pPr>
      <w:r w:rsidRPr="00ED05BB">
        <w:rPr>
          <w:b/>
          <w:bCs/>
          <w:sz w:val="22"/>
          <w:szCs w:val="22"/>
          <w:lang w:eastAsia="zh-CN"/>
        </w:rPr>
        <w:t>Rok produkcji :</w:t>
      </w:r>
      <w:r w:rsidRPr="00ED05BB">
        <w:rPr>
          <w:b/>
          <w:bCs/>
          <w:sz w:val="22"/>
          <w:szCs w:val="22"/>
          <w:lang w:eastAsia="zh-CN"/>
        </w:rPr>
        <w:tab/>
        <w:t xml:space="preserve">sprzęt fabrycznie nowy, nieużywany, </w:t>
      </w:r>
      <w:proofErr w:type="spellStart"/>
      <w:r w:rsidRPr="00ED05BB">
        <w:rPr>
          <w:b/>
          <w:bCs/>
          <w:sz w:val="22"/>
          <w:szCs w:val="22"/>
          <w:lang w:eastAsia="zh-CN"/>
        </w:rPr>
        <w:t>nierekondycjonowany</w:t>
      </w:r>
      <w:proofErr w:type="spellEnd"/>
      <w:r w:rsidRPr="00ED05BB">
        <w:rPr>
          <w:b/>
          <w:bCs/>
          <w:sz w:val="22"/>
          <w:szCs w:val="22"/>
          <w:lang w:eastAsia="zh-CN"/>
        </w:rPr>
        <w:t xml:space="preserve">, nie powystawowy / rok produkcji </w:t>
      </w:r>
      <w:r w:rsidR="00523150">
        <w:rPr>
          <w:b/>
          <w:bCs/>
          <w:sz w:val="22"/>
          <w:szCs w:val="22"/>
          <w:lang w:eastAsia="zh-CN"/>
        </w:rPr>
        <w:t>2024</w:t>
      </w:r>
    </w:p>
    <w:p w:rsidR="00ED05BB" w:rsidRP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ED05BB" w:rsidRDefault="00ED05BB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803C11" w:rsidRPr="00ED05BB" w:rsidRDefault="00803C11" w:rsidP="00803C11">
      <w:pPr>
        <w:rPr>
          <w:rFonts w:eastAsiaTheme="minorHAnsi"/>
          <w:sz w:val="20"/>
          <w:szCs w:val="20"/>
          <w:lang w:eastAsia="en-US" w:bidi="en-US"/>
        </w:rPr>
      </w:pPr>
      <w:r w:rsidRPr="00ED05BB">
        <w:rPr>
          <w:rFonts w:eastAsiaTheme="minorHAnsi"/>
          <w:sz w:val="20"/>
          <w:szCs w:val="20"/>
          <w:lang w:eastAsia="en-US" w:bidi="en-US"/>
        </w:rPr>
        <w:t>*Odpowiedź NIE w przypadku parametrów wymaganych  powoduje odrzucenie oferty</w:t>
      </w:r>
    </w:p>
    <w:p w:rsidR="00803C11" w:rsidRDefault="00803C11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5"/>
        <w:gridCol w:w="1276"/>
        <w:gridCol w:w="1559"/>
        <w:gridCol w:w="1560"/>
      </w:tblGrid>
      <w:tr w:rsidR="00803C11" w:rsidRPr="00ED05BB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ED05BB" w:rsidRDefault="00803C11" w:rsidP="00673D57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03C11" w:rsidRPr="00ED05BB" w:rsidRDefault="00803C11" w:rsidP="00673D57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C11" w:rsidRPr="00ED05BB" w:rsidRDefault="00803C11" w:rsidP="00673D57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</w:p>
        </w:tc>
        <w:tc>
          <w:tcPr>
            <w:tcW w:w="1559" w:type="dxa"/>
          </w:tcPr>
          <w:p w:rsidR="00803C11" w:rsidRPr="00ED05BB" w:rsidRDefault="00803C11" w:rsidP="00673D57">
            <w:pPr>
              <w:jc w:val="center"/>
              <w:rPr>
                <w:rFonts w:eastAsiaTheme="minorHAnsi"/>
                <w:b/>
                <w:sz w:val="16"/>
                <w:szCs w:val="16"/>
                <w:lang w:eastAsia="en-US" w:bidi="en-US"/>
              </w:rPr>
            </w:pPr>
            <w:r>
              <w:rPr>
                <w:rFonts w:eastAsiaTheme="minorHAnsi"/>
                <w:b/>
                <w:sz w:val="16"/>
                <w:szCs w:val="16"/>
                <w:lang w:eastAsia="en-US" w:bidi="en-US"/>
              </w:rPr>
              <w:t>Parametr oceniany</w:t>
            </w:r>
          </w:p>
        </w:tc>
        <w:tc>
          <w:tcPr>
            <w:tcW w:w="1560" w:type="dxa"/>
            <w:vAlign w:val="center"/>
          </w:tcPr>
          <w:p w:rsidR="00803C11" w:rsidRPr="00ED05BB" w:rsidRDefault="00803C11" w:rsidP="00673D57">
            <w:pPr>
              <w:jc w:val="center"/>
              <w:rPr>
                <w:sz w:val="16"/>
                <w:szCs w:val="16"/>
                <w:lang w:eastAsia="en-US" w:bidi="en-US"/>
              </w:rPr>
            </w:pPr>
            <w:r w:rsidRPr="00ED05BB">
              <w:rPr>
                <w:rFonts w:eastAsiaTheme="minorHAnsi"/>
                <w:b/>
                <w:sz w:val="16"/>
                <w:szCs w:val="16"/>
                <w:lang w:eastAsia="en-US" w:bidi="en-US"/>
              </w:rPr>
              <w:t xml:space="preserve">PARAMETRY OFEROWANE/ </w:t>
            </w:r>
            <w:r w:rsidRPr="00ED05BB">
              <w:rPr>
                <w:rFonts w:eastAsiaTheme="minorHAnsi"/>
                <w:b/>
                <w:sz w:val="16"/>
                <w:szCs w:val="16"/>
                <w:lang w:eastAsia="en-US" w:bidi="en-US"/>
              </w:rPr>
              <w:br/>
            </w:r>
          </w:p>
        </w:tc>
      </w:tr>
      <w:tr w:rsidR="00803C11" w:rsidRPr="00ED05BB" w:rsidTr="00673D57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03C11" w:rsidRPr="00ED05BB" w:rsidRDefault="00803C11" w:rsidP="00673D57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A.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803C11" w:rsidRPr="00ED05BB" w:rsidRDefault="00803C11" w:rsidP="00673D57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  <w:lang w:val="en-US" w:eastAsia="en-US" w:bidi="en-US"/>
              </w:rPr>
            </w:pPr>
            <w:r w:rsidRPr="00ED05BB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PARAMETRY OGÓLNE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03C11" w:rsidRPr="00ED05BB" w:rsidRDefault="00803C11" w:rsidP="00673D57">
            <w:pPr>
              <w:tabs>
                <w:tab w:val="right" w:pos="6838"/>
              </w:tabs>
              <w:spacing w:line="276" w:lineRule="auto"/>
              <w:jc w:val="center"/>
              <w:rPr>
                <w:b/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803C11" w:rsidRPr="00ED05BB" w:rsidRDefault="00803C11" w:rsidP="00673D57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803C11" w:rsidRPr="00ED05BB" w:rsidRDefault="00803C11" w:rsidP="00673D57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066E73" w:rsidTr="00673D57">
        <w:trPr>
          <w:cantSplit/>
          <w:trHeight w:val="20"/>
        </w:trPr>
        <w:tc>
          <w:tcPr>
            <w:tcW w:w="567" w:type="dxa"/>
            <w:shd w:val="clear" w:color="auto" w:fill="B6DDE8" w:themeFill="accent5" w:themeFillTint="66"/>
            <w:vAlign w:val="center"/>
          </w:tcPr>
          <w:p w:rsidR="00803C11" w:rsidRPr="00066E73" w:rsidRDefault="00803C11" w:rsidP="00673D57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1.</w:t>
            </w:r>
            <w:r w:rsidRPr="00066E73">
              <w:rPr>
                <w:b/>
                <w:sz w:val="18"/>
                <w:szCs w:val="18"/>
                <w:lang w:eastAsia="zh-CN"/>
              </w:rPr>
              <w:t>I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03C11" w:rsidRPr="00066E73" w:rsidRDefault="00803C11" w:rsidP="00673D57">
            <w:pPr>
              <w:snapToGrid w:val="0"/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  <w:t>Echokardiograf</w:t>
            </w:r>
            <w:proofErr w:type="spellEnd"/>
            <w:r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  <w:t xml:space="preserve"> - </w:t>
            </w:r>
            <w:proofErr w:type="spellStart"/>
            <w:r w:rsidRPr="00066E73"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  <w:t>Parametry</w:t>
            </w:r>
            <w:proofErr w:type="spellEnd"/>
            <w:r w:rsidRPr="00066E73"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  <w:t xml:space="preserve"> </w:t>
            </w:r>
            <w:proofErr w:type="spellStart"/>
            <w:r w:rsidRPr="00066E73">
              <w:rPr>
                <w:rFonts w:eastAsiaTheme="minorHAnsi"/>
                <w:b/>
                <w:bCs/>
                <w:sz w:val="18"/>
                <w:szCs w:val="18"/>
                <w:lang w:val="en-US" w:eastAsia="en-US" w:bidi="en-US"/>
              </w:rPr>
              <w:t>ogólne</w:t>
            </w:r>
            <w:proofErr w:type="spellEnd"/>
          </w:p>
        </w:tc>
        <w:tc>
          <w:tcPr>
            <w:tcW w:w="1276" w:type="dxa"/>
            <w:shd w:val="clear" w:color="auto" w:fill="B6DDE8" w:themeFill="accent5" w:themeFillTint="66"/>
            <w:vAlign w:val="center"/>
          </w:tcPr>
          <w:p w:rsidR="00803C11" w:rsidRPr="00066E73" w:rsidRDefault="00803C11" w:rsidP="00673D57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shd w:val="clear" w:color="auto" w:fill="B6DDE8" w:themeFill="accent5" w:themeFillTint="66"/>
          </w:tcPr>
          <w:p w:rsidR="00803C11" w:rsidRPr="00066E73" w:rsidRDefault="00803C11" w:rsidP="00673D57">
            <w:pPr>
              <w:tabs>
                <w:tab w:val="right" w:pos="6838"/>
              </w:tabs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shd w:val="clear" w:color="auto" w:fill="B6DDE8" w:themeFill="accent5" w:themeFillTint="66"/>
          </w:tcPr>
          <w:p w:rsidR="00803C11" w:rsidRPr="00066E73" w:rsidRDefault="00803C11" w:rsidP="00673D57">
            <w:pPr>
              <w:tabs>
                <w:tab w:val="right" w:pos="6838"/>
              </w:tabs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174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System o zwartej jednomodułowej konstrukcji wyposażony w cztery skrętne koła z możliwością blokowania na stałe i do jazdy na wprost min. dwóch kół, ze zintegrowanym systemem archiwizacji oraz urządzeniami do dokumentacji i archiwizacji sterowanymi z klawiatury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Ilość niezależnych aktywnych kanałów przetwarzania min. 7 000 000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Zakres częstotliwości pracy ultrasonografu (podać całkowity zakres częstotliwości fundamentalnych [nie harmonicznych] emitowanych przez głowice obrazowe możliwe do podłączenia na dzień składania ofert) min. 1,0 do 26,0 MHz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color w:val="FF0000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Architektura aparatu w pełni cyfrowa, dynamika systemu min. 310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Waga aparatu bez urządzeń peryferyjnych i głowic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Maks. 130 kg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803C11" w:rsidRPr="00803C11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Monitor min. 21,5” rozdzielczość min. 1920x1080, umieszczony na ruchomym wysięgniku z regulacja góra-dół min. 15 cm, obrót o min. 180°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  <w:lang w:val="en-US"/>
              </w:rPr>
            </w:pPr>
            <w:r w:rsidRPr="002831B2">
              <w:rPr>
                <w:rFonts w:eastAsia="Arial"/>
                <w:sz w:val="18"/>
                <w:szCs w:val="18"/>
                <w:lang w:val="en-US"/>
              </w:rPr>
              <w:t>Monitor OLED – 10 pkt.</w:t>
            </w:r>
          </w:p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  <w:lang w:val="en-US"/>
              </w:rPr>
            </w:pPr>
            <w:r w:rsidRPr="002831B2">
              <w:rPr>
                <w:rFonts w:eastAsia="Arial"/>
                <w:sz w:val="18"/>
                <w:szCs w:val="18"/>
                <w:lang w:val="en-US"/>
              </w:rPr>
              <w:t>Monitor LCD, LED – 0 pkt.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val="en-US"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val="en-US"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powiększenia obrazu USG do min. 80% wielkości monitora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Tak/Nie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 – 5 pkt.</w:t>
            </w:r>
          </w:p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  <w:lang w:val="en-US"/>
              </w:rPr>
            </w:pPr>
            <w:r w:rsidRPr="002831B2">
              <w:rPr>
                <w:rFonts w:eastAsia="Arial"/>
                <w:sz w:val="18"/>
                <w:szCs w:val="18"/>
              </w:rPr>
              <w:t>Nie – 0 pkt.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Konsola aparatu z możliwością regulacji; prawo-lewo min. ±80°, góra-dół min. 25 cm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  <w:lang w:val="en-US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Dotykowy panel LCD o przekątnej min. 12” wykorzystywany do sterowania funkcjami aparatu i wprowadzania danych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Zmiana stron na panelu dotykowym za pomocą przesuwu dotykiem jak tablet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4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Tak/Nie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 – 5 pkt.</w:t>
            </w:r>
          </w:p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Nie – 0 pkt.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zduplikowania obrazu diagnostycznego w trybach na ekranie dotykowym panelu sterowania celem ułatwienia wykonywania procedur interwencyjnych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4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Klawiatura alfanumeryczna do wprowadzania danych dostępna na dotykowym panelu oraz dodatkowo wysuwana z obudowy panelu sterowania lub umieszczona na panelu sterowania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9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Min. 4 równoważne gniazda do podłączenia głowic obrazowanych, przełączanych elektronicznie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7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Aktywne gniazdo do podłączania głowicy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nieobrazowej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pracującej w trybie CW Doppler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Regulacja wzmocnienia głębokościowego (TGC) min. 8 fizycznych regulatorów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Regulacja wzmocnienia poprzecznego (LGC) wiązki min. 4 regulatory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4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Tak/Nie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 – 5 pkt.</w:t>
            </w:r>
          </w:p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Nie – 0 pkt.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Regulacja głębokości pola obrazowania od 1 do min. 40 cm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4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803C11" w:rsidRPr="002831B2" w:rsidRDefault="00803C11" w:rsidP="00673D57">
            <w:pPr>
              <w:ind w:right="37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Cyfrowy tor przetwarzania wiązki ultradźwiękowej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328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Aparat z wejściem EKG do podłączenia kabli, wraz z kompletem kabli dla osób dorosłych i dla dzieci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32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monitorowania sygnału EKG (wyświetlana krzywa na ekranie) przy pomocy elektrod EKG, bez dodatkowych zewnętrznych modułów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6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23" w:right="13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Fabrycznie zainstalowane zasilanie bateryjne pozwalające na wprowadzenie systemu w stan uśpienia, a następnie wybudzenie go w czasie maks. 30 sek.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4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Tak/Nie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 – 10 pkt.</w:t>
            </w:r>
          </w:p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Nie – 0 pkt.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23" w:right="13"/>
              <w:rPr>
                <w:rFonts w:eastAsia="Arial"/>
                <w:sz w:val="18"/>
                <w:szCs w:val="18"/>
              </w:rPr>
            </w:pPr>
            <w:proofErr w:type="spellStart"/>
            <w:r w:rsidRPr="002831B2">
              <w:rPr>
                <w:rFonts w:eastAsia="Arial"/>
                <w:sz w:val="18"/>
                <w:szCs w:val="18"/>
              </w:rPr>
              <w:t>Videoprinter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czarno-biały małego formatu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4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23" w:right="13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Współpraca aparatu z głowicami:</w:t>
            </w:r>
          </w:p>
          <w:p w:rsidR="00803C11" w:rsidRPr="002831B2" w:rsidRDefault="00803C11" w:rsidP="00673D57">
            <w:pPr>
              <w:ind w:left="23" w:right="13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1.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phased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array</w:t>
            </w:r>
            <w:proofErr w:type="spellEnd"/>
          </w:p>
          <w:p w:rsidR="00803C11" w:rsidRPr="002831B2" w:rsidRDefault="00803C11" w:rsidP="00673D57">
            <w:pPr>
              <w:ind w:left="23" w:right="13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2. liniowe</w:t>
            </w:r>
          </w:p>
          <w:p w:rsidR="00803C11" w:rsidRPr="002831B2" w:rsidRDefault="00803C11" w:rsidP="00673D57">
            <w:pPr>
              <w:ind w:left="23" w:right="13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3.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convex</w:t>
            </w:r>
            <w:proofErr w:type="spellEnd"/>
          </w:p>
          <w:p w:rsidR="00803C11" w:rsidRPr="002831B2" w:rsidRDefault="00803C11" w:rsidP="00673D57">
            <w:pPr>
              <w:ind w:left="23" w:right="13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4. przezprzełykowe wielopłaszczyznowe</w:t>
            </w:r>
          </w:p>
          <w:p w:rsidR="00803C11" w:rsidRPr="002831B2" w:rsidRDefault="00803C11" w:rsidP="00673D57">
            <w:pPr>
              <w:ind w:left="23" w:right="13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5. dopplerowskie typu ołówkowego</w:t>
            </w:r>
          </w:p>
          <w:p w:rsidR="00803C11" w:rsidRPr="002831B2" w:rsidRDefault="00803C11" w:rsidP="00673D57">
            <w:pPr>
              <w:ind w:left="23" w:right="13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6. matrycowe do obrazowania 3D w czasie rzeczywistym dedykowanego do echokardiografii przezklatkowej i przezprzełykowej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4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2831B2">
              <w:rPr>
                <w:b/>
                <w:sz w:val="18"/>
                <w:szCs w:val="18"/>
                <w:lang w:eastAsia="zh-CN"/>
              </w:rPr>
              <w:t>1.II</w:t>
            </w:r>
          </w:p>
        </w:tc>
        <w:tc>
          <w:tcPr>
            <w:tcW w:w="5245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right="35"/>
              <w:rPr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>Archiwizacja</w:t>
            </w:r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left="6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803C11" w:rsidRPr="002831B2" w:rsidRDefault="00803C11" w:rsidP="00673D57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1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Archiwizacja danych demograficznych, pomiarowych, raportów z badań, obrazów i pętli obrazowych na wewnętrznym twardym dysku min. 1 TB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05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Napęd dysków DVD do zapisu obrazów, pętli obrazowych i raportów z badania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3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zapisu obrazów, pętli obrazowych i raportów na dysku DVD/CD w formatach, min. JPG, AVI, DICOM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Zapis obrazów, pętli obrazowych i raportów na dysku DVD/CD w formatach DICOM wraz z załączanym oprogramowaniem do przeglądania obrazów DICOM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1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Transmisja DICOM do stacji roboczej i serwera PACS (aparat wyposażony w oprogramowanie do transmisji DICOM, przewodowo i bezprzewodowo)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1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Komunikacja sieciowa (Ethernet) zgodnie z protokołem DICOM 3.0.; min. DICOM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Worklist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DICOM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Print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Commitment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Store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, raporty strukturalne kardiologiczne I naczyniowe, Query/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retrieve</w:t>
            </w:r>
            <w:proofErr w:type="spellEnd"/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1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dokonania pomiarów na obrazach i pętlach obrazowych z archiwum systemu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1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Wsparcie serwisowe (możliwość diagnostyki) oferowanego aparatu USG poprzez łącze zdalne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803C11" w:rsidRPr="002831B2" w:rsidRDefault="00803C11" w:rsidP="00673D57">
            <w:pPr>
              <w:spacing w:line="237" w:lineRule="auto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Aktywna funkcja komunikacji DICOM umożliwiająca pobierania danych z wielu metod obrazowania (umożliwiająca wyświetlanie obrazów DICOM min. CT, MRI i USG — w celu przeglądania tych obrazów w czasie obrazowania USG, w celu bezpośredniego porównania)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03C11" w:rsidRPr="002831B2" w:rsidRDefault="00803C11" w:rsidP="00673D57">
            <w:pPr>
              <w:ind w:right="20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03C11" w:rsidRPr="002831B2" w:rsidRDefault="00803C11" w:rsidP="00673D57">
            <w:pPr>
              <w:ind w:right="-104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803C11" w:rsidRPr="002831B2" w:rsidRDefault="00803C11" w:rsidP="00673D57">
            <w:pPr>
              <w:spacing w:line="237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Integracja w standardzie DICOM 3.0 z posiadanym przez zamawiającego systemem PACS firmy AGFA w pełnym zakresie (łącznie z pobieraniem list roboczych)</w:t>
            </w:r>
          </w:p>
          <w:p w:rsidR="00803C11" w:rsidRPr="002831B2" w:rsidRDefault="00803C11" w:rsidP="00673D57">
            <w:pPr>
              <w:spacing w:line="237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Zamawiający posiada kontrakt serwisowy w ramach którego zapewni licencje po stronie systemu PACS</w:t>
            </w:r>
          </w:p>
          <w:p w:rsidR="00803C11" w:rsidRPr="002831B2" w:rsidRDefault="00803C11" w:rsidP="00673D57">
            <w:pPr>
              <w:spacing w:line="237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Po stronie Wykonawcy jest zapewnienie odpowiedniego 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oprogramowa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Dicom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w oferowanym aparacie, w celu podłączenia do systemu PACS  i zapewnienie wsparcia przy podłączeniu i konfiguracji do systemu PACS firmy AGFA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03C11" w:rsidRPr="002831B2" w:rsidRDefault="00803C11" w:rsidP="00673D57">
            <w:pPr>
              <w:ind w:right="20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03C11" w:rsidRPr="002831B2" w:rsidRDefault="00803C11" w:rsidP="00673D57">
            <w:pPr>
              <w:ind w:right="-104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bookmarkStart w:id="2" w:name="_Hlk179794861"/>
            <w:r w:rsidRPr="002831B2">
              <w:rPr>
                <w:b/>
                <w:sz w:val="18"/>
                <w:szCs w:val="18"/>
                <w:lang w:eastAsia="zh-CN"/>
              </w:rPr>
              <w:t>1.III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right="15"/>
              <w:rPr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>Tryby obrazowania i oprogramowanie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left="22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803C11" w:rsidRPr="002831B2" w:rsidRDefault="00803C11" w:rsidP="00673D57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vAlign w:val="center"/>
          </w:tcPr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Tryby obrazowania</w:t>
            </w:r>
          </w:p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1. 2D (B-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)</w:t>
            </w:r>
          </w:p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2. M-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</w:p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3. Kolor M-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</w:p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4. Doppler pulsacyjny (PW) i HPRF</w:t>
            </w:r>
          </w:p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5. Doppler ciągły (CW) z głowic sektorowych obrazowych i głowicy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nieobrazowej</w:t>
            </w:r>
            <w:proofErr w:type="spellEnd"/>
          </w:p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6. Doppler kolorowy (CD) wszystkie głowice</w:t>
            </w:r>
          </w:p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7. Power (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angio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) Doppler</w:t>
            </w:r>
          </w:p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  <w:lang w:val="en-US"/>
              </w:rPr>
            </w:pPr>
            <w:r w:rsidRPr="002831B2">
              <w:rPr>
                <w:rFonts w:eastAsia="Arial"/>
                <w:sz w:val="18"/>
                <w:szCs w:val="18"/>
                <w:lang w:val="en-US"/>
              </w:rPr>
              <w:t>8. Duplex (2D +PW/CD/Power Doppler)</w:t>
            </w:r>
          </w:p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  <w:lang w:val="en-US"/>
              </w:rPr>
            </w:pPr>
            <w:r w:rsidRPr="002831B2">
              <w:rPr>
                <w:rFonts w:eastAsia="Arial"/>
                <w:sz w:val="18"/>
                <w:szCs w:val="18"/>
                <w:lang w:val="en-US"/>
              </w:rPr>
              <w:t>9. Triplex (2D + CD/Power Doppler + PW)</w:t>
            </w:r>
          </w:p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10. Doppler tkankowy kolorowy oraz spektralny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sz w:val="18"/>
                <w:szCs w:val="18"/>
                <w:lang w:eastAsia="ar-SA"/>
              </w:rPr>
              <w:t>Regulacja głębokości penetracji w zakresie od 1 cm do min. 40 cm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9"/>
              <w:rPr>
                <w:sz w:val="18"/>
                <w:szCs w:val="18"/>
                <w:lang w:eastAsia="ar-SA"/>
              </w:rPr>
            </w:pPr>
            <w:r w:rsidRPr="002831B2">
              <w:rPr>
                <w:sz w:val="18"/>
                <w:szCs w:val="18"/>
                <w:lang w:eastAsia="ar-SA"/>
              </w:rPr>
              <w:t>Obrazowanie harmoniczne zwiększające rozdzielczość i penetrację min. 3 zakresy częstotliwości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b/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 xml:space="preserve">Tryb 2D (B – </w:t>
            </w:r>
            <w:proofErr w:type="spellStart"/>
            <w:r w:rsidRPr="002831B2">
              <w:rPr>
                <w:rFonts w:eastAsia="Arial"/>
                <w:b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b/>
                <w:sz w:val="18"/>
                <w:szCs w:val="18"/>
              </w:rPr>
              <w:t xml:space="preserve">), </w:t>
            </w:r>
            <w:r w:rsidRPr="002831B2">
              <w:rPr>
                <w:rFonts w:eastAsia="Arial"/>
                <w:sz w:val="18"/>
                <w:szCs w:val="18"/>
              </w:rPr>
              <w:t xml:space="preserve">prędkość odświeżania obrazu min. 2700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obr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./s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Powiększenie (zoom) dla obrazów „na żywo” i zatrzymanych min. 16-stopniowy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Automatyczna optymalizacja obrazu B-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przy pomocy jednego przycisku (wzmocnienie, TGC)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Funkcja ciągłej automatycznej optymalizacji obrazu B-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(wzmocnienie, TGC)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Opcja automatycznego ustawiania parametrów bramki dopplerowskiej w naczyniu (wstawianie bramki, korekcja kąta i kierunku)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color w:val="000000" w:themeColor="text1"/>
                <w:sz w:val="18"/>
                <w:szCs w:val="18"/>
              </w:rPr>
              <w:t>Praca w trybie wielokierunkowego emitowania i składania wiązki ultradźwiękowej z głowic w pełni elektronicznych, z min. 9 kątami emitowania wiązki tworzącymi obraz 2D. Wymóg pracy dla trybu 2D oraz w trybie obrazowania harmonicznego.</w:t>
            </w:r>
          </w:p>
        </w:tc>
        <w:tc>
          <w:tcPr>
            <w:tcW w:w="1276" w:type="dxa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9"/>
              <w:rPr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>Tryb M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Pojemność pamięci dynamicznej w M-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min. 45 s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9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Obrazowanie kolor Doppler w M –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Anatomiczny M-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>Tryb Doppler Kolorowy (CD)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bCs/>
                <w:sz w:val="18"/>
                <w:szCs w:val="18"/>
              </w:rPr>
              <w:t>Zakres prędkości Dopplera Kolorowego (CD) min. +/- 3,0 m/s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Regulacja uchylności wiązki dopplerowskiej PWD – min. +/- 20 stopni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Pojemność pamięci dynamicznej prezentacji Doppler kolorowy min. 2000 obrazów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Regulacja uchylności bramki Dopplera Kolorowego na głowicy liniowej min. 19 kątów do badań naczyniowych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Jednoczesna prezentacja na ekranie w czasie rzeczywistym dwóch obrazów – jeden w B-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, drugi w trybie Dopplera Kolorowego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 xml:space="preserve">Tryb Spektralny Doppler Pulsacyjny (PWD), </w:t>
            </w:r>
            <w:r w:rsidRPr="002831B2">
              <w:rPr>
                <w:rFonts w:eastAsia="Arial"/>
                <w:sz w:val="18"/>
                <w:szCs w:val="18"/>
              </w:rPr>
              <w:t xml:space="preserve">rejestrowane prędkości przy kącie 0° min. 9 m/s 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Zmiana wielkości bramki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Min. 1 – 16 mm, podać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Korekcja bramki dopplerowskiej PWD min. +/- 88 stopni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Automatyczna optymalizacja parametrów aparatu dla PWD przy pomocy jednego przycisku (skala, linia bazowa)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>Tryb Spektralny Doppler z Falą Ciągłą (CWD),</w:t>
            </w:r>
            <w:r w:rsidRPr="002831B2">
              <w:rPr>
                <w:rFonts w:eastAsia="Arial"/>
                <w:sz w:val="18"/>
                <w:szCs w:val="18"/>
              </w:rPr>
              <w:t xml:space="preserve"> rejestrowane prędkości przy kacie 0° min. 16 m/s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Tak, podać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bookmarkEnd w:id="2"/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Sterowany pod kontrolą obrazu 2D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>Tryb Power Doppler (PD)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>Tkankowy Doppler Spektralny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>Tkankowy Doppler Kolorowy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3"/>
              <w:rPr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 xml:space="preserve">Tryb 3D </w:t>
            </w:r>
            <w:r w:rsidRPr="002831B2">
              <w:rPr>
                <w:rFonts w:eastAsia="Arial"/>
                <w:sz w:val="18"/>
                <w:szCs w:val="18"/>
              </w:rPr>
              <w:t>w czasie rzeczywistym dedykowany do kardiologii na głowicach przezklatkowych oraz przezprzełykowych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23" w:right="45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Obrazowanie 3D serca z głowicy matrycowej z maksymalną prędkością min. 60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vps</w:t>
            </w:r>
            <w:proofErr w:type="spellEnd"/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23" w:right="45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Obrazowanie pełnej objętości serca w czasie rzeczywistym z możliwością wyboru ilości cykli pracy do uśrednienia (min. 1,2,4 i 6 cykli)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23" w:right="45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Obrazowanie w sektorze min. 102° x 98°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23" w:right="45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Obrazowanie 3D serca w czasie rzeczywistym z jednego cyklu pracy serca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23" w:right="45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Jednoczesna wizualizacja w czasie rzeczywistym dwóch niezależnych płaszczyzn na głowicy przezprzełykowej, w trybie B i Doppler kolorowy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23" w:right="45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Jednoczesna wizualizacja w czasie rzeczywistym bramki Dopplera PW w dwóch niezależnych płaszczyznach na głowicy przezprzełykowej celem ustalenia dokładnego położenia w przestrzeni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left="23" w:right="45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Kolorowe odwzorowanie przepływów w czasie rzeczywistym w postaci przestrzennej, ruchomej bryły (3D kolor Doppler), z min. dwóch głowic przezklatkowych oraz min. trzech różnych przezprzełykowych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45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pomiaru odległości i powierzchni na obrazie 3D bezpośrednio po zamrożeniu obrazu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23" w:right="45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Elektroniczna rotacja skanowanej płaszczyzny, bez konieczności obrotu głowicą na głowicy przezklatkowej 3D w zakresie min 180 stopni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left="23" w:right="45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Obsługa obrazu 3D z panelu dotykowego min. możliwość obrotu obrazu przy pomocy gestów, możliwość ustawienia oświetlenia obrazu 3D poprzez dotyk na panelu. Specjalny tryb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fotorealistycznego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wyświetlania obrazu kardiologicznego wspomaganego wirtualnym podświetleniem obrazu.</w:t>
            </w:r>
          </w:p>
          <w:p w:rsidR="00803C11" w:rsidRPr="002831B2" w:rsidRDefault="00803C11" w:rsidP="00673D57">
            <w:pPr>
              <w:ind w:left="23" w:right="45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regulacji położenia źródła światła na zewnątrz obserwowanej struktury jak i możliwość regulacji głębokości położenia światła np. poprzez podświetlenia od wnętrza struktury lub od tyłu.</w:t>
            </w:r>
          </w:p>
          <w:p w:rsidR="00803C11" w:rsidRPr="002831B2" w:rsidRDefault="00803C11" w:rsidP="00673D57">
            <w:pPr>
              <w:ind w:right="45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uzyskania obrazu 3D półprzezroczystego umożliwiająca obserwowanie wewnętrznych struktur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17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Pomiary kardiologiczne w prezentacji 2D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1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7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Pomiary w trybie Dopplera spektralnego kardiologiczne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8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Pomiary w trybie kolorowego Dopplera metodą PISA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spacing w:line="262" w:lineRule="auto"/>
              <w:ind w:right="222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Pamięć dynamiczna obrazu (CINE LOOP) dla trybu B z możliwością przeglądu w sposób płynny z regulacją prędkości odtwarzania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31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right="27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Wejście zewnętrznego sygnału EKG 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 xml:space="preserve">Oprogramowanie aplikacyjne z pakietem oprogramowania pomiarowego do badań: </w:t>
            </w:r>
          </w:p>
          <w:p w:rsidR="00803C11" w:rsidRPr="002831B2" w:rsidRDefault="00803C11" w:rsidP="00803C11">
            <w:pPr>
              <w:pStyle w:val="Akapitzlist"/>
              <w:numPr>
                <w:ilvl w:val="0"/>
                <w:numId w:val="5"/>
              </w:numPr>
              <w:contextualSpacing w:val="0"/>
              <w:jc w:val="both"/>
              <w:rPr>
                <w:bCs/>
                <w:sz w:val="18"/>
                <w:szCs w:val="18"/>
              </w:rPr>
            </w:pPr>
            <w:r w:rsidRPr="002831B2">
              <w:rPr>
                <w:bCs/>
                <w:sz w:val="18"/>
                <w:szCs w:val="18"/>
              </w:rPr>
              <w:t>Echokardiografia osób dorosłych</w:t>
            </w:r>
          </w:p>
          <w:p w:rsidR="00803C11" w:rsidRPr="002831B2" w:rsidRDefault="00803C11" w:rsidP="00803C11">
            <w:pPr>
              <w:pStyle w:val="Akapitzlist"/>
              <w:numPr>
                <w:ilvl w:val="0"/>
                <w:numId w:val="5"/>
              </w:numPr>
              <w:contextualSpacing w:val="0"/>
              <w:jc w:val="both"/>
              <w:rPr>
                <w:b/>
                <w:bCs/>
                <w:sz w:val="18"/>
                <w:szCs w:val="18"/>
              </w:rPr>
            </w:pPr>
            <w:r w:rsidRPr="002831B2">
              <w:rPr>
                <w:bCs/>
                <w:sz w:val="18"/>
                <w:szCs w:val="18"/>
              </w:rPr>
              <w:t>Badań naczyniowych</w:t>
            </w:r>
            <w:r w:rsidRPr="002831B2">
              <w:rPr>
                <w:b/>
                <w:bCs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39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Oprogramowanie do obrazowania LVO z kontrastem dostępne na głowicy przezklatkowej oraz przezprzełykowej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Oprogramowanie do prób wysiłkowych tzw.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stress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echo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2831B2">
              <w:rPr>
                <w:b/>
                <w:sz w:val="18"/>
                <w:szCs w:val="18"/>
                <w:lang w:eastAsia="zh-CN"/>
              </w:rPr>
              <w:t>1.IV</w:t>
            </w:r>
          </w:p>
        </w:tc>
        <w:tc>
          <w:tcPr>
            <w:tcW w:w="5245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right="30"/>
              <w:rPr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>Pozostałe wymagania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left="12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left="11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803C11" w:rsidRPr="002831B2" w:rsidRDefault="00803C11" w:rsidP="00673D57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Min. 2 gniazda USB do archiwizacji obrazów statycznych oraz ruchomych na przenośnej pamięci USB (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Flash,Pendrive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31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Funkcja ukrycia danych pacjenta przy archiwizacji na zewnętrzne nośniki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31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Złącze sieci LAN do połączenia ze zdalnym serwisem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7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Wyjścia video: S-video, VGA lub DVI lub Display Port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57" w:lineRule="auto"/>
              <w:ind w:left="22" w:hanging="22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System prowadzenia kabli od głowic, który umożliwia połączenie kabli w splot i ochronę przed ich uszkodzeniem poprzez najechanie kołami ultrasonografu, jednocześnie zmniejszający naprężenie kabli i zwiększając wygodę operatora podczas skanowania.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Tak/Nie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 – 5 pkt.</w:t>
            </w:r>
          </w:p>
          <w:p w:rsidR="00803C11" w:rsidRPr="002831B2" w:rsidRDefault="00803C11" w:rsidP="00673D57">
            <w:pPr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Nie – 0-pkt.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2831B2">
              <w:rPr>
                <w:b/>
                <w:sz w:val="18"/>
                <w:szCs w:val="18"/>
                <w:lang w:eastAsia="zh-CN"/>
              </w:rPr>
              <w:t>1.V</w:t>
            </w:r>
          </w:p>
        </w:tc>
        <w:tc>
          <w:tcPr>
            <w:tcW w:w="5245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right="25"/>
              <w:rPr>
                <w:sz w:val="18"/>
                <w:szCs w:val="18"/>
              </w:rPr>
            </w:pPr>
            <w:r w:rsidRPr="002831B2">
              <w:rPr>
                <w:rFonts w:eastAsia="Arial"/>
                <w:b/>
                <w:sz w:val="18"/>
                <w:szCs w:val="18"/>
              </w:rPr>
              <w:t>Głowice</w:t>
            </w: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left="12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ind w:left="11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803C11" w:rsidRPr="002831B2" w:rsidRDefault="00803C11" w:rsidP="00673D57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B8CCE4" w:themeFill="accent1" w:themeFillTint="66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B8CCE4" w:themeFill="accent1" w:themeFillTint="66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b/>
                <w:bCs/>
                <w:sz w:val="18"/>
                <w:szCs w:val="18"/>
              </w:rPr>
            </w:pPr>
            <w:r w:rsidRPr="002831B2">
              <w:rPr>
                <w:rFonts w:eastAsia="Arial"/>
                <w:b/>
                <w:bCs/>
                <w:sz w:val="18"/>
                <w:szCs w:val="18"/>
              </w:rPr>
              <w:t>Głowica przezprzełykowa 4D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8CCE4" w:themeFill="accent1" w:themeFillTint="66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Głowica przezprzełykowa matrycowa; </w:t>
            </w:r>
          </w:p>
          <w:p w:rsidR="00803C11" w:rsidRPr="002831B2" w:rsidRDefault="00803C11" w:rsidP="00673D57">
            <w:pPr>
              <w:spacing w:line="273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zakres pracy min. 2,0 – 8,0 MHz. (+/- 1MHz), min. 2500 elementów.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Tryby pracy min.: 2D, PW Doppler, CW Doppler, obrazowanie harmoniczne, obrazowanie trójwymiarowe kardiologiczne w czasie rzeczywistym (3D w czasie rzeczywistym), obrazowanie trójwymiarowe kardiologiczne w czasie rzeczywistym z Dopplerem kolorowym (3D kolor w czasie rzeczywistym).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Obrazowanie dwóch niezależnych płaszczyzn w czasie rzeczywistym w trybie B-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i CD.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b/>
                <w:bCs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Min. jeden przycisk z możliwością przypisania. Szerokość końcówki endoskopu max. 17mm. Waga pacjenta &gt; 30kg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B8CCE4" w:themeFill="accent1" w:themeFillTint="66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B8CCE4" w:themeFill="accent1" w:themeFillTint="66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b/>
                <w:bCs/>
                <w:sz w:val="18"/>
                <w:szCs w:val="18"/>
              </w:rPr>
            </w:pPr>
            <w:r w:rsidRPr="002831B2">
              <w:rPr>
                <w:rFonts w:eastAsia="Arial"/>
                <w:b/>
                <w:bCs/>
                <w:sz w:val="18"/>
                <w:szCs w:val="18"/>
              </w:rPr>
              <w:t>Głowica sektorowa 2D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8CCE4" w:themeFill="accent1" w:themeFillTint="66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Głowica sektorowa do badań kardiologicznych osób dorosłych, wykonana w technice matrycowej wielorzędowej lub innej, znacząco poprawiającej rozdzielczość np. Single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Crystal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Pure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Wave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Hanafy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Lens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Szerokopasmowa o zakresie częstotliwości min. 1,0 – 5,0 MHz (+/- 1MHz),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liczba elementów akustycznych min. 80, kąt widzenia min. 90° min. 7 zakresów częstotliwości harmonicznych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b/>
                <w:bCs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Tryby pracy min. 2D,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Color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Doppler, PW Doppler, CW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Dopper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, TDI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B8CCE4" w:themeFill="accent1" w:themeFillTint="66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B8CCE4" w:themeFill="accent1" w:themeFillTint="66"/>
            <w:vAlign w:val="center"/>
          </w:tcPr>
          <w:p w:rsidR="00803C11" w:rsidRPr="002831B2" w:rsidRDefault="00803C11" w:rsidP="00673D57">
            <w:pPr>
              <w:spacing w:line="256" w:lineRule="auto"/>
              <w:ind w:right="36"/>
              <w:rPr>
                <w:rFonts w:eastAsia="Arial"/>
                <w:b/>
                <w:bCs/>
                <w:sz w:val="18"/>
                <w:szCs w:val="18"/>
              </w:rPr>
            </w:pPr>
            <w:r w:rsidRPr="002831B2">
              <w:rPr>
                <w:rFonts w:eastAsia="Arial"/>
                <w:b/>
                <w:bCs/>
                <w:sz w:val="18"/>
                <w:szCs w:val="18"/>
              </w:rPr>
              <w:t xml:space="preserve">Głowica liniowa / naczyniowa 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8CCE4" w:themeFill="accent1" w:themeFillTint="66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b/>
                <w:bCs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Głowica liniowa szerokopasmowa o zakresie częstotliwości pracy min. 3,0 – 12,0 MHz obrazowanie harmoniczne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b/>
                <w:bCs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liczba elementów akustycznych min. 300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spacing w:line="273" w:lineRule="auto"/>
              <w:rPr>
                <w:rFonts w:eastAsia="Arial"/>
                <w:b/>
                <w:bCs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płaszczyzna skanowania czoła głowicy (FOV) max. 39 mm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803C11" w:rsidRPr="002831B2" w:rsidRDefault="00803C11" w:rsidP="00673D57">
            <w:pPr>
              <w:suppressAutoHyphens/>
              <w:rPr>
                <w:b/>
                <w:sz w:val="18"/>
                <w:szCs w:val="18"/>
                <w:lang w:eastAsia="zh-CN"/>
              </w:rPr>
            </w:pPr>
            <w:r w:rsidRPr="002831B2">
              <w:rPr>
                <w:b/>
                <w:sz w:val="18"/>
                <w:szCs w:val="18"/>
                <w:lang w:eastAsia="zh-CN"/>
              </w:rPr>
              <w:lastRenderedPageBreak/>
              <w:t>1.VI</w:t>
            </w:r>
          </w:p>
        </w:tc>
        <w:tc>
          <w:tcPr>
            <w:tcW w:w="5245" w:type="dxa"/>
            <w:shd w:val="clear" w:color="auto" w:fill="D6E3BC" w:themeFill="accent3" w:themeFillTint="66"/>
          </w:tcPr>
          <w:p w:rsidR="00803C11" w:rsidRPr="002831B2" w:rsidRDefault="00803C11" w:rsidP="00673D57">
            <w:pPr>
              <w:snapToGrid w:val="0"/>
              <w:rPr>
                <w:rFonts w:eastAsiaTheme="minorHAnsi"/>
                <w:b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b/>
                <w:sz w:val="18"/>
                <w:szCs w:val="18"/>
                <w:lang w:eastAsia="en-US" w:bidi="en-US"/>
              </w:rPr>
              <w:t>Możliwość rozbudowy – opcje dostępne w dniu składania oferty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803C11" w:rsidRPr="002831B2" w:rsidRDefault="00803C11" w:rsidP="00673D57">
            <w:pPr>
              <w:jc w:val="center"/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</w:pPr>
            <w:r w:rsidRPr="002831B2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 xml:space="preserve">TAK, </w:t>
            </w:r>
            <w:proofErr w:type="spellStart"/>
            <w:r w:rsidRPr="002831B2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podać</w:t>
            </w:r>
            <w:proofErr w:type="spellEnd"/>
          </w:p>
        </w:tc>
        <w:tc>
          <w:tcPr>
            <w:tcW w:w="1559" w:type="dxa"/>
            <w:shd w:val="clear" w:color="auto" w:fill="D6E3BC" w:themeFill="accent3" w:themeFillTint="66"/>
          </w:tcPr>
          <w:p w:rsidR="00803C11" w:rsidRPr="002831B2" w:rsidRDefault="00803C11" w:rsidP="00673D57">
            <w:pPr>
              <w:suppressAutoHyphens/>
              <w:jc w:val="center"/>
              <w:rPr>
                <w:b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shd w:val="clear" w:color="auto" w:fill="D6E3BC" w:themeFill="accent3" w:themeFillTint="66"/>
          </w:tcPr>
          <w:p w:rsidR="00803C11" w:rsidRPr="002831B2" w:rsidRDefault="00803C11" w:rsidP="00673D57">
            <w:pPr>
              <w:suppressAutoHyphens/>
              <w:rPr>
                <w:b/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rozbudowy o: Głowica przezprzełykowa mini TEE 4D do badań dzieci i dorosłych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Głowica przezprzełykowa matrycowa; zakres pracy min. 4,0 – 11,0 MHz. (+/- 1MHz), min. 2500 elementów, 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Tryby pracy min.: 2D, PW Doppler, CW Doppler, obrazowanie harmoniczne, obrazowanie trójwymiarowe kardiologiczne w czasie rzeczywistym (3D w czasie rzeczywistym), obrazowanie trójwymiarowe kardiologiczne w czasie rzeczywistym z Dopplerem kolorowym (3D kolor w czasie rzeczywistym). 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Obrazowanie dwóch niezależnych płaszczyzn w czasie rzeczywistym w trybie B-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i CD. 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Waga pacjenta &gt; 5kg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Min. jeden przycisk z możliwością przypisania funkcji. 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regulacji ruchu końcówki endoskopu w min. 4 płaszczyznach. 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Szerokość końcówki endoskopu max. 11mm.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5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3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rozbudowy o: Głowica przezprzełykowa 4D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Głowica przezprzełykowa matrycowa; zakres pracy min. 2,0 – 7,0 MHz (+/- 1MHz), min. 2500 elementów, tryby pracy min.: 2D, PW Doppler, CW Doppler, obrazowanie harmoniczne, obrazowanie trójwymiarowe kardiologiczne w czasie rzeczywistym (3D w czasie rzeczywistym), obrazowanie trójwymiarowe kardiologiczne w czasie rzeczywistym z Dopplerem kolorowym (3D kolor w czasie rzeczywistym). Obrazowanie dwóch niezależnych płaszczyzn w czasie rzeczywistym w trybie B-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i CD. 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5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rozbudowy o: Głowica przezprzełykową pediatryczną 2D</w:t>
            </w:r>
          </w:p>
          <w:p w:rsidR="00803C11" w:rsidRPr="002831B2" w:rsidRDefault="00803C11" w:rsidP="00673D57">
            <w:pPr>
              <w:spacing w:line="273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Głowica TEE pediatryczna, wielopłaszczyznowa z rotacją min. 0 – 180°, zakres pracy min. 3,0 – 8,0 MHz (+/- 1MHz). Szerokość końcówki endoskopu max. 8mm. Waga pacjenta &gt; 2,5kg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5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rozbudowy o: Głowica sektorowa przezklatkowa 4D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Głowica sektorowa do badań przezklatkowych serca, trójwymiarowych w czasie rzeczywistym (tzw. 3D TTE)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Zakres częstotliwości pracy min. 1,0 – 5,0 MHz (+/- 1MHz)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Ilość elementów min. 3000.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Kąt skanowania min. 90°x90°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Tryby obrazowania B-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, M-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, CD, CW Doppler, PW Doppler, 3D, 3D kolor Doppler.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Obrazowanie dwóch niezależnych płaszczyzn w czasie rzeczywistym w trybie B-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i CD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Elektroniczna rotacja skanowanej płaszczyzny, bez konieczności obrotu głowicą w zakresie 360 stopni. </w:t>
            </w:r>
          </w:p>
          <w:p w:rsidR="00803C11" w:rsidRPr="002831B2" w:rsidRDefault="00803C11" w:rsidP="00673D57">
            <w:pPr>
              <w:spacing w:line="273" w:lineRule="auto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Możliwość zaprogramowania dla oferowanej głowicy protokołu z ustawionymi dowolnymi kątami w zakresie 0 do 360 stopni zmieniającymi się w sposób automatyczny po akceptacji danej projekcji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5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3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spacing w:line="256" w:lineRule="auto"/>
              <w:ind w:right="3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spacing w:line="256" w:lineRule="auto"/>
              <w:ind w:right="3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Szerokopasmowa głowica liniowa matrycowa 2D, 3D, 4D</w:t>
            </w:r>
          </w:p>
          <w:p w:rsidR="00803C11" w:rsidRPr="002831B2" w:rsidRDefault="00803C11" w:rsidP="00673D57">
            <w:pPr>
              <w:spacing w:line="256" w:lineRule="auto"/>
              <w:ind w:right="3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Zakresie częstotliwości min 4.0 – 14.0 MHz (+/- 1MHz). </w:t>
            </w:r>
          </w:p>
          <w:p w:rsidR="00803C11" w:rsidRPr="002831B2" w:rsidRDefault="00803C11" w:rsidP="00673D57">
            <w:pPr>
              <w:spacing w:line="256" w:lineRule="auto"/>
              <w:ind w:right="3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Tryby obrazowania B-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, M-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, CD, PW Doppler, 3D, 3D kolor Doppler</w:t>
            </w:r>
          </w:p>
          <w:p w:rsidR="00803C11" w:rsidRPr="002831B2" w:rsidRDefault="00803C11" w:rsidP="00673D57">
            <w:pPr>
              <w:spacing w:line="256" w:lineRule="auto"/>
              <w:ind w:right="3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Obrazowanie dwóch niezależnych płaszczyzn w czasie rzeczywistym w trybie B-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mode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i CD</w:t>
            </w:r>
          </w:p>
          <w:p w:rsidR="00803C11" w:rsidRPr="002831B2" w:rsidRDefault="00803C11" w:rsidP="00673D57">
            <w:pPr>
              <w:spacing w:line="256" w:lineRule="auto"/>
              <w:ind w:right="3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Jednoczesna wizualizacja w czasie rzeczywistym bramki Dopplera PW w dwóch niezależnych płaszczyznach na głowicy celem ustalenia dokładnego położenia w przestrzeni</w:t>
            </w:r>
          </w:p>
          <w:p w:rsidR="00803C11" w:rsidRPr="002831B2" w:rsidRDefault="00803C11" w:rsidP="00673D57">
            <w:pPr>
              <w:spacing w:line="256" w:lineRule="auto"/>
              <w:ind w:right="38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Ilość elementów min. 50 000</w:t>
            </w:r>
          </w:p>
          <w:p w:rsidR="00803C11" w:rsidRPr="002831B2" w:rsidRDefault="00803C11" w:rsidP="00673D57">
            <w:pPr>
              <w:ind w:firstLine="10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Kąt obrazowanie w trybie 3D min 90st. x 90st.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5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Tak/Nie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 – 50 pkt</w:t>
            </w:r>
          </w:p>
          <w:p w:rsidR="00803C11" w:rsidRPr="002831B2" w:rsidRDefault="00803C11" w:rsidP="00673D57">
            <w:pPr>
              <w:ind w:right="3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Nie – 0 pkt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Głowica liniowa śródoperacyjna szerokopasmową, o zakresie częstotliwości pracy min. 7,0 –</w:t>
            </w:r>
            <w:r w:rsidRPr="002831B2">
              <w:rPr>
                <w:sz w:val="18"/>
                <w:szCs w:val="18"/>
              </w:rPr>
              <w:t xml:space="preserve"> </w:t>
            </w:r>
            <w:r w:rsidRPr="002831B2">
              <w:rPr>
                <w:rFonts w:eastAsia="Arial"/>
                <w:sz w:val="18"/>
                <w:szCs w:val="18"/>
              </w:rPr>
              <w:t xml:space="preserve">15,0 MHz, obrazowanie min. 2D, PW,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Color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Doppler, ilość elementów akustycznych min. 160, min. badania naczyniowe śródoperacyjne, długość pola obrazowego FOV max. 25 mm 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5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9"/>
              <w:jc w:val="center"/>
              <w:rPr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spacing w:line="256" w:lineRule="auto"/>
              <w:ind w:right="36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spacing w:line="256" w:lineRule="auto"/>
              <w:ind w:right="36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Oprogramowanie aplikacyjne z pakietem oprogramowania pomiarowego do badań:</w:t>
            </w:r>
          </w:p>
          <w:p w:rsidR="00803C11" w:rsidRPr="002831B2" w:rsidRDefault="00803C11" w:rsidP="00803C11">
            <w:pPr>
              <w:pStyle w:val="Akapitzlist"/>
              <w:numPr>
                <w:ilvl w:val="0"/>
                <w:numId w:val="6"/>
              </w:numPr>
              <w:spacing w:after="60" w:line="256" w:lineRule="auto"/>
              <w:ind w:right="36"/>
              <w:contextualSpacing w:val="0"/>
              <w:jc w:val="both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Badania TCD</w:t>
            </w:r>
          </w:p>
          <w:p w:rsidR="00803C11" w:rsidRPr="002831B2" w:rsidRDefault="00803C11" w:rsidP="00803C11">
            <w:pPr>
              <w:pStyle w:val="Akapitzlist"/>
              <w:numPr>
                <w:ilvl w:val="0"/>
                <w:numId w:val="6"/>
              </w:numPr>
              <w:spacing w:after="60" w:line="256" w:lineRule="auto"/>
              <w:ind w:right="36"/>
              <w:contextualSpacing w:val="0"/>
              <w:jc w:val="both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Badania brzucha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5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39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Oprogramowanie do automatycznej kwantyfikacji pierścienia zastawki trójdzielnej z obrazu 3D serca pozwalające na uzyskanie 15 powtarzalnych pomiarów oraz modelu zastawki trójdzielnej dostępne dla danych z głowic TTE i TEE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Oprogramowanie do w pełni automatycznego wyznaczenia objętości niedomykalności zastawki mitralnej (również wielostrumieniowej i ekscentrycznej) z danych 3D bazujące na algorytmach AI. Wynikiem analizy jest objętość fali zwrotnej, maksymalna prędkość przepływu oraz wykres prędkości przepływu zwrotnego w czasie.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Oprogramowanie do oceny globalnej funkcji lewej komory (LV), prawej komory (RV), lewego przedsionka (LA) oraz odcinkowej ruchomości ścian, deformacji i synchronii przy użyciu technologii śledzenia markerów akustycznych w trybie 2D tzw.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Speckle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. Wymagane automatyczne rozpoznanie projekcji AP4, AP3, AP2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Oprogramowanie do zautomatyzowanego wykrywania granic prawej komory z obrazu trójwymiarowego, wyznaczeniem modelu trójwymiarowego prawej komory z wyliczeniem objętości prawej komory w skurczu i rozkurczu, wyliczenie frakcji oraz podaniem wartości dwuwymiarowych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np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FAC, TAPSE, wielkość RV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Wykorzystujące algorytmy sztucznej inteligencji, w pełni zautomatyzowane pomiary dostępne w trybie 2D: min.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IVSd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LVIDd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LVPWd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LVIDs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AoR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Diam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Asc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Ao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Diam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LVOT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Diam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Ao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Sinus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Diam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Ao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STJ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Diam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RV Base, RV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Mid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RV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Length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RV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Annulus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Funkcja automatycznego rozpoznania widma fali przepływu w zależności od typu zastawki i dzięki sztucznej inteligencji dopasowująca odpowiadający jej pakiet pomiarowy.</w:t>
            </w:r>
          </w:p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W pełni zautomatyzowane pomiary dostępne w trybie Dopplera np. MV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Peak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E Vel, MV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Peak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A Vel, MV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Inflow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MV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Peak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E Vel, MV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Peak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A Vel, LVOT VTI, LVOT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Vmax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AV VTI, AV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Vmax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PV VTI, PV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Vmax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TR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Vmax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Lat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E’Vel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Lat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A’Vel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Med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E’Vel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Med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A’Vel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Lat Vel, Lat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E’Vel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Lat A’ Vel,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Med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Vel,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Med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E’Vel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,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Med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A’Vel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>,  RV S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Oprogramowanie do automatycznej (wykorzystującej sztuczną inteligencję) odcinkowej oceny ruchu mięśnia lewej komory wraz z wyznaczeniem Wall Motion </w:t>
            </w:r>
            <w:proofErr w:type="spellStart"/>
            <w:r w:rsidRPr="002831B2">
              <w:rPr>
                <w:rFonts w:eastAsia="Arial"/>
                <w:sz w:val="18"/>
                <w:szCs w:val="18"/>
              </w:rPr>
              <w:t>Scoring</w:t>
            </w:r>
            <w:proofErr w:type="spellEnd"/>
            <w:r w:rsidRPr="002831B2">
              <w:rPr>
                <w:rFonts w:eastAsia="Arial"/>
                <w:sz w:val="18"/>
                <w:szCs w:val="18"/>
              </w:rPr>
              <w:t xml:space="preserve"> Index. Wyniki odcinkowe prezentowane są za pomocą 17 segmentowego wykresu kołowego.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Ocena w trybie 3D anatomii zastawki mitralnej oraz powiązanych z nią struktur wraz z zautomatyzowanym modelowaniem pierścienia i powierzchni płatka w 3D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Możliwość rozbudowy o: </w:t>
            </w:r>
          </w:p>
          <w:p w:rsidR="00803C11" w:rsidRPr="002831B2" w:rsidRDefault="00803C11" w:rsidP="00673D5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Funkcja przesyłania/integracji w czasie rzeczywistym obrazu 3D z głowicy przezprzełykowej do rentgenowskiego aparatu angiograficznego i korelacji obrazu 3D z ruchem lampy. Możliwość nakładania na siebie obrazów </w:t>
            </w:r>
            <w:proofErr w:type="spellStart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angio</w:t>
            </w:r>
            <w:proofErr w:type="spellEnd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</w:t>
            </w:r>
            <w:proofErr w:type="spellStart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usg</w:t>
            </w:r>
            <w:proofErr w:type="spellEnd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, ustawiania punktów zainteresowania (korelacji). Możliwość przełączania widoku obrazów skorelowanych </w:t>
            </w:r>
            <w:proofErr w:type="spellStart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angio</w:t>
            </w:r>
            <w:proofErr w:type="spellEnd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/</w:t>
            </w:r>
            <w:proofErr w:type="spellStart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usg</w:t>
            </w:r>
            <w:proofErr w:type="spellEnd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na aparacie echokardiograficznym celem podglądu w czasie rzeczywistym obrazu </w:t>
            </w:r>
            <w:proofErr w:type="spellStart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angio</w:t>
            </w:r>
            <w:proofErr w:type="spellEnd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przez </w:t>
            </w:r>
            <w:proofErr w:type="spellStart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echokardiografistę</w:t>
            </w:r>
            <w:proofErr w:type="spellEnd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:rsidR="00803C11" w:rsidRPr="002831B2" w:rsidRDefault="00803C11" w:rsidP="00673D57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Możliwość wstawiania markerów na obrazie echo bezpośrednio w aparacie </w:t>
            </w:r>
            <w:proofErr w:type="spellStart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echokradiograficznym</w:t>
            </w:r>
            <w:proofErr w:type="spellEnd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które widoczne są na obrazie RTG </w:t>
            </w:r>
            <w:proofErr w:type="spellStart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angio</w:t>
            </w:r>
            <w:proofErr w:type="spellEnd"/>
            <w:r w:rsidRPr="002831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:rsidR="00803C11" w:rsidRPr="002831B2" w:rsidRDefault="00803C11" w:rsidP="00673D57">
            <w:pPr>
              <w:rPr>
                <w:rFonts w:eastAsia="Arial"/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Funkcja jest wymagana dla oferowanego echokardiografu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Możliwość rozbudowy o: Głowica wewnątrzsercowego (ICE) 3D</w:t>
            </w:r>
          </w:p>
          <w:p w:rsidR="00803C11" w:rsidRPr="002831B2" w:rsidRDefault="00803C11" w:rsidP="00803C11">
            <w:pPr>
              <w:pStyle w:val="Akapitzlist"/>
              <w:numPr>
                <w:ilvl w:val="0"/>
                <w:numId w:val="7"/>
              </w:numPr>
              <w:ind w:left="714" w:hanging="357"/>
              <w:contextualSpacing w:val="0"/>
              <w:jc w:val="both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Zakres częstotliwości od 4 do min. 10 MHz.</w:t>
            </w:r>
          </w:p>
          <w:p w:rsidR="00803C11" w:rsidRPr="002831B2" w:rsidRDefault="00803C11" w:rsidP="00803C11">
            <w:pPr>
              <w:pStyle w:val="Akapitzlist"/>
              <w:numPr>
                <w:ilvl w:val="0"/>
                <w:numId w:val="7"/>
              </w:numPr>
              <w:ind w:left="714" w:hanging="357"/>
              <w:contextualSpacing w:val="0"/>
              <w:jc w:val="both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 xml:space="preserve">Ilość elementów akustycznych min. 800 </w:t>
            </w:r>
          </w:p>
          <w:p w:rsidR="00803C11" w:rsidRPr="002831B2" w:rsidRDefault="00803C11" w:rsidP="00803C11">
            <w:pPr>
              <w:pStyle w:val="Akapitzlist"/>
              <w:numPr>
                <w:ilvl w:val="0"/>
                <w:numId w:val="7"/>
              </w:numPr>
              <w:ind w:left="714" w:hanging="357"/>
              <w:contextualSpacing w:val="0"/>
              <w:jc w:val="both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 xml:space="preserve">Pole widzenia min. 90° </w:t>
            </w:r>
          </w:p>
          <w:p w:rsidR="00803C11" w:rsidRPr="002831B2" w:rsidRDefault="00803C11" w:rsidP="00803C11">
            <w:pPr>
              <w:pStyle w:val="Akapitzlist"/>
              <w:numPr>
                <w:ilvl w:val="0"/>
                <w:numId w:val="7"/>
              </w:numPr>
              <w:ind w:left="714" w:hanging="357"/>
              <w:contextualSpacing w:val="0"/>
              <w:jc w:val="both"/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Oprogramowanie 3D do obrazowania wewnątrzsercowego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B6DDE8" w:themeFill="accent5" w:themeFillTint="66"/>
            <w:vAlign w:val="center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5245" w:type="dxa"/>
            <w:shd w:val="clear" w:color="auto" w:fill="B6DDE8" w:themeFill="accent5" w:themeFillTint="66"/>
          </w:tcPr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>zewnętrzna stacja robocza z oprogramowaniem do analizy badań echokardiograficznych</w:t>
            </w:r>
          </w:p>
        </w:tc>
        <w:tc>
          <w:tcPr>
            <w:tcW w:w="1276" w:type="dxa"/>
            <w:shd w:val="clear" w:color="auto" w:fill="B6DDE8" w:themeFill="accent5" w:themeFillTint="66"/>
          </w:tcPr>
          <w:p w:rsidR="00803C11" w:rsidRPr="002831B2" w:rsidRDefault="00803C11" w:rsidP="00673D57">
            <w:pPr>
              <w:jc w:val="center"/>
              <w:rPr>
                <w:rFonts w:eastAsiaTheme="minorHAnsi"/>
                <w:sz w:val="18"/>
                <w:szCs w:val="18"/>
                <w:lang w:eastAsia="en-US" w:bidi="en-US"/>
              </w:rPr>
            </w:pPr>
          </w:p>
        </w:tc>
        <w:tc>
          <w:tcPr>
            <w:tcW w:w="1559" w:type="dxa"/>
            <w:shd w:val="clear" w:color="auto" w:fill="B6DDE8" w:themeFill="accent5" w:themeFillTint="66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shd w:val="clear" w:color="auto" w:fill="B6DDE8" w:themeFill="accent5" w:themeFillTint="66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>Zewnętrzna stacja robocza do zaawansowanej analizy badań echokardiograficznych pochodzących od różnych dostawców (min. 4 producentów echokardiografów np. Philips, GE, Canon, Simens)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 xml:space="preserve">System min.  Windows 10 oraz oprogramowanie do przeglądania obrazów DICOM, </w:t>
            </w:r>
          </w:p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 xml:space="preserve">przyjmowanie danych pomiarowych w formacie DICOM SR, przechowywanie obrazów w formacie kompatybilnym z aparatem, tworzenie raportów, komentarzy, </w:t>
            </w:r>
          </w:p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 xml:space="preserve">min. dwoma monitorami o przekątnej 24 cali,   </w:t>
            </w:r>
          </w:p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 xml:space="preserve">procesorem min. Intel </w:t>
            </w:r>
            <w:proofErr w:type="spellStart"/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>Core</w:t>
            </w:r>
            <w:proofErr w:type="spellEnd"/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 xml:space="preserve"> i9 lub równoważnym, </w:t>
            </w:r>
          </w:p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 xml:space="preserve">pamięć min. 32 GB RAM, dysk SSD min. 1TB, </w:t>
            </w:r>
            <w:r>
              <w:rPr>
                <w:rFonts w:eastAsiaTheme="minorHAnsi"/>
                <w:sz w:val="18"/>
                <w:szCs w:val="18"/>
                <w:lang w:eastAsia="en-US" w:bidi="en-US"/>
              </w:rPr>
              <w:br/>
              <w:t>zewnętrzny dysk twardy HDD min. 10TB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 xml:space="preserve">Możliwość </w:t>
            </w:r>
            <w:proofErr w:type="spellStart"/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>połączonenia</w:t>
            </w:r>
            <w:proofErr w:type="spellEnd"/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 xml:space="preserve"> z min. 5 echokardiografami celem archiwizacji badań oraz oprogramowaniem do wykonywania analiz w zakresie: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Oprogramowanie do automatycznego wyznaczenia globalnego i regionalnego odkształcenia LV, prezentacja wyniku w postaci kolorowej mapy typu „oko byka” z podziałem na 18 segmentów. Moduł automatycznie identyfikuje odpowiednie projekcje (AP4, AP3 i AP2) oraz automatycznie śledzi wsierdzie na bazie markerów akustycznych (</w:t>
            </w:r>
            <w:proofErr w:type="spellStart"/>
            <w:r w:rsidRPr="002831B2">
              <w:rPr>
                <w:sz w:val="18"/>
                <w:szCs w:val="18"/>
              </w:rPr>
              <w:t>speckle</w:t>
            </w:r>
            <w:proofErr w:type="spellEnd"/>
            <w:r w:rsidRPr="002831B2">
              <w:rPr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sz w:val="18"/>
                <w:szCs w:val="18"/>
              </w:rPr>
              <w:t>tracking</w:t>
            </w:r>
            <w:proofErr w:type="spellEnd"/>
            <w:r w:rsidRPr="002831B2">
              <w:rPr>
                <w:sz w:val="18"/>
                <w:szCs w:val="18"/>
              </w:rPr>
              <w:t xml:space="preserve">) bez żadnych ingerencji operatora. Powtarzalność wyników, zgodnie z najnowszymi wytycznymi </w:t>
            </w:r>
            <w:proofErr w:type="spellStart"/>
            <w:r w:rsidRPr="002831B2">
              <w:rPr>
                <w:sz w:val="18"/>
                <w:szCs w:val="18"/>
              </w:rPr>
              <w:t>Speckle</w:t>
            </w:r>
            <w:proofErr w:type="spellEnd"/>
            <w:r w:rsidRPr="002831B2">
              <w:rPr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sz w:val="18"/>
                <w:szCs w:val="18"/>
              </w:rPr>
              <w:t>Task</w:t>
            </w:r>
            <w:proofErr w:type="spellEnd"/>
            <w:r w:rsidRPr="002831B2">
              <w:rPr>
                <w:sz w:val="18"/>
                <w:szCs w:val="18"/>
              </w:rPr>
              <w:t xml:space="preserve"> Force (EACVI/ASE/</w:t>
            </w:r>
            <w:proofErr w:type="spellStart"/>
            <w:r w:rsidRPr="002831B2">
              <w:rPr>
                <w:sz w:val="18"/>
                <w:szCs w:val="18"/>
              </w:rPr>
              <w:t>Industry</w:t>
            </w:r>
            <w:proofErr w:type="spellEnd"/>
            <w:r w:rsidRPr="002831B2">
              <w:rPr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sz w:val="18"/>
                <w:szCs w:val="18"/>
              </w:rPr>
              <w:t>Task</w:t>
            </w:r>
            <w:proofErr w:type="spellEnd"/>
            <w:r w:rsidRPr="002831B2">
              <w:rPr>
                <w:sz w:val="18"/>
                <w:szCs w:val="18"/>
              </w:rPr>
              <w:t xml:space="preserve"> Force)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Oprogramowanie do automatycznego wyznaczenia odkształcenia RV oraz LA oraz odkształcenia wolnej ściany RV z obrazu, moduł automatycznie identyfikuje odpowiednie projekcje (AP4, AP3 i AP2) potrzebne do uzyskania wyniku oraz automatycznie śledzi wsierdzie na bazie markerów akustycznych (</w:t>
            </w:r>
            <w:proofErr w:type="spellStart"/>
            <w:r w:rsidRPr="002831B2">
              <w:rPr>
                <w:sz w:val="18"/>
                <w:szCs w:val="18"/>
              </w:rPr>
              <w:t>speckle</w:t>
            </w:r>
            <w:proofErr w:type="spellEnd"/>
            <w:r w:rsidRPr="002831B2">
              <w:rPr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sz w:val="18"/>
                <w:szCs w:val="18"/>
              </w:rPr>
              <w:t>tracking</w:t>
            </w:r>
            <w:proofErr w:type="spellEnd"/>
            <w:r w:rsidRPr="002831B2">
              <w:rPr>
                <w:sz w:val="18"/>
                <w:szCs w:val="18"/>
              </w:rPr>
              <w:t>) bez ingerencji operatora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Oprogramowanie pomiarowe do automatycznej analizy odkształcenia lewej komory (LV) w oparciu o widoki osi krótkiej (SAX) w celu oceny funkcji serca.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3C11" w:rsidRPr="002831B2" w:rsidRDefault="00803C11" w:rsidP="00673D57">
            <w:pPr>
              <w:rPr>
                <w:sz w:val="18"/>
                <w:szCs w:val="18"/>
                <w:lang w:eastAsia="ja-JP"/>
              </w:rPr>
            </w:pPr>
            <w:r w:rsidRPr="002831B2">
              <w:rPr>
                <w:sz w:val="18"/>
                <w:szCs w:val="18"/>
                <w:lang w:eastAsia="ja-JP"/>
              </w:rPr>
              <w:t>Oprogramowanie do automatycznych pomiarów grubości błony wewnętrznej i środkowej tętnic szyjnych i innych naczyń powierzchniowych.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3C11" w:rsidRPr="002831B2" w:rsidRDefault="00803C11" w:rsidP="00673D57">
            <w:pPr>
              <w:rPr>
                <w:sz w:val="18"/>
                <w:szCs w:val="18"/>
                <w:lang w:eastAsia="ja-JP"/>
              </w:rPr>
            </w:pPr>
            <w:r w:rsidRPr="002831B2">
              <w:rPr>
                <w:sz w:val="18"/>
                <w:szCs w:val="18"/>
              </w:rPr>
              <w:t>Wykorzystujące algorytmy sztucznej inteligencji automatyczne pomiary spektrum dopplerowskiego dla zastawek mitralnej, trójdzielnej, aortalnej i płucnej.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Oprogramowanie do automatycznych pomiarów objętości lewego przedsionka na podstawie projekcji 4-jamowych i 2-jamowych (</w:t>
            </w:r>
            <w:proofErr w:type="spellStart"/>
            <w:r w:rsidRPr="002831B2">
              <w:rPr>
                <w:sz w:val="18"/>
                <w:szCs w:val="18"/>
              </w:rPr>
              <w:t>biplane</w:t>
            </w:r>
            <w:proofErr w:type="spellEnd"/>
            <w:r w:rsidRPr="002831B2">
              <w:rPr>
                <w:sz w:val="18"/>
                <w:szCs w:val="18"/>
              </w:rPr>
              <w:t xml:space="preserve"> Simpson) za pomocą jednego kliknięcia.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 xml:space="preserve">Oprogramowanie do automatycznych pomiarów objętości lewej komory serca na za pomocą metody </w:t>
            </w:r>
            <w:proofErr w:type="spellStart"/>
            <w:r w:rsidRPr="002831B2">
              <w:rPr>
                <w:sz w:val="18"/>
                <w:szCs w:val="18"/>
              </w:rPr>
              <w:t>biplane</w:t>
            </w:r>
            <w:proofErr w:type="spellEnd"/>
            <w:r w:rsidRPr="002831B2">
              <w:rPr>
                <w:sz w:val="18"/>
                <w:szCs w:val="18"/>
              </w:rPr>
              <w:t xml:space="preserve"> Simpson za pomocą jednego kliknięcia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 xml:space="preserve">Narzędzie do przeglądania, analizy i oceny ilościowej dynamicznych danych ultradźwiękowych 3D. Umożliwia szybką i łatwą rekonstrukcję 3D dowolnej struktury serca. Pozwala na wyświetlanie wielopłaszczyznowych rekonstrukcji (MPR) w dowolnej orientacji w połączeniu z trybem </w:t>
            </w:r>
            <w:proofErr w:type="spellStart"/>
            <w:r w:rsidRPr="002831B2">
              <w:rPr>
                <w:sz w:val="18"/>
                <w:szCs w:val="18"/>
              </w:rPr>
              <w:t>multi-slice</w:t>
            </w:r>
            <w:proofErr w:type="spellEnd"/>
            <w:r w:rsidRPr="002831B2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 xml:space="preserve">Oprogramowanie pozwalające obróbkę zestawów danych 3D min. na przeglądanie, przycinanie, tworzenie warstw i ocenę ilościową min. pomiary odległości, obliczenia powierzchni, objętości lewej komory w trybie dwupłaszczyznowym, frakcji wyrzutowej (EF) i masy lewej komory (LVM). Aplikacja pozwala również uzyskać widoki rekonstrukcji wielopłaszczyznowej (MPR) z objętości 3D oraz umożliwia generowanie prezentacji 3D </w:t>
            </w:r>
            <w:proofErr w:type="spellStart"/>
            <w:r w:rsidRPr="002831B2">
              <w:rPr>
                <w:sz w:val="18"/>
                <w:szCs w:val="18"/>
              </w:rPr>
              <w:t>iSlice</w:t>
            </w:r>
            <w:proofErr w:type="spellEnd"/>
            <w:r w:rsidRPr="002831B2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Specjalistyczne oprogramowanie do analizy kardiologicznej obrazów 3D zawierające min. globalny obraz LV z analizą w min. 17 regionalnych sektorach; obliczanie regionalnej objętości na podstawie min.17-segmentowego model lewej komory wg zaleceń AHA/ASE z wyznaczaniem frakcji wyrzutowej EF z obrazów 3D; wyznaczanie EDV, ESV, objętości wyrzutowej na podstawie rzeczywistej objętości 3D.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Pomiary kardiologiczne w trybie min. 2D, M‐</w:t>
            </w:r>
            <w:proofErr w:type="spellStart"/>
            <w:r w:rsidRPr="002831B2">
              <w:rPr>
                <w:sz w:val="18"/>
                <w:szCs w:val="18"/>
              </w:rPr>
              <w:t>mode</w:t>
            </w:r>
            <w:proofErr w:type="spellEnd"/>
            <w:r w:rsidRPr="002831B2">
              <w:rPr>
                <w:sz w:val="18"/>
                <w:szCs w:val="18"/>
              </w:rPr>
              <w:t>, PW, CW, TDI, automatycznego liczenia frakcji wyrzutowej lewej komory, łącznie z opcją automatycznych pomiarów Dopplerowskich i 2D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 xml:space="preserve">Ocena funkcji, synchronii skurczu oraz odkształcenia dla lewej komory z badań 3D: pomiar regionalnych objętości w obrębie całego cyklu pracy serca, pomiar EDV, ESV, SV oraz EF, pomiar składowych odkształcenia </w:t>
            </w:r>
            <w:proofErr w:type="spellStart"/>
            <w:r w:rsidRPr="002831B2">
              <w:rPr>
                <w:sz w:val="18"/>
                <w:szCs w:val="18"/>
              </w:rPr>
              <w:t>miokardium</w:t>
            </w:r>
            <w:proofErr w:type="spellEnd"/>
            <w:r w:rsidRPr="002831B2">
              <w:rPr>
                <w:sz w:val="18"/>
                <w:szCs w:val="18"/>
              </w:rPr>
              <w:t xml:space="preserve"> (3D, okrężnego, radialnego oraz podłużnego) w  funkcji czasu, pomiar globalnego odkształcenia podłużnego (GLS), model 4D komory oparty na  konturach wsierdzia, możliwość uwidocznienia modelu 4D lewej komory w bryle MPR,  wykorzystanie techniki śledzenia markerów akustycznych w przestrzeni 3D, automatyczne  wykrywanie przez program konturów wsierdzia dla wszystkich faz i przekrojów, zapis i eksport  wyników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 xml:space="preserve">Oprogramowanie do zautomatyzowanego wykrywania granic jam i jednoczesnego wyliczania frakcji lewej komory, masy lewej komory oraz objętości lewego przedsionka z obrazu 3D </w:t>
            </w:r>
            <w:proofErr w:type="spellStart"/>
            <w:r w:rsidRPr="002831B2">
              <w:rPr>
                <w:sz w:val="18"/>
                <w:szCs w:val="18"/>
              </w:rPr>
              <w:t>tzw</w:t>
            </w:r>
            <w:proofErr w:type="spellEnd"/>
            <w:r w:rsidRPr="002831B2">
              <w:rPr>
                <w:sz w:val="18"/>
                <w:szCs w:val="18"/>
              </w:rPr>
              <w:t xml:space="preserve"> jednym kliknięciem. Automatyczna wizualizacja trójwymiarowa całego serca </w:t>
            </w:r>
            <w:proofErr w:type="spellStart"/>
            <w:r w:rsidRPr="002831B2">
              <w:rPr>
                <w:sz w:val="18"/>
                <w:szCs w:val="18"/>
              </w:rPr>
              <w:t>tj</w:t>
            </w:r>
            <w:proofErr w:type="spellEnd"/>
            <w:r w:rsidRPr="002831B2">
              <w:rPr>
                <w:sz w:val="18"/>
                <w:szCs w:val="18"/>
              </w:rPr>
              <w:t xml:space="preserve"> wszystkich jam w postaci ruchomej bryły pokazującej zmiany kształtu jam serca. Moduł w automatyczny sposób segmentuje jamy serca z obrazu 3D dla całego cyklu serca, identyfikuje i wyświetla standardowe projekcje 2D (AP4, AP3, AP2) ze zbioru danych 3D w skurczu i rozkurczu. Możliwa jest analiza kliku cykli zbiorów danych 3D i wyliczenie uśrednionych parametrów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auto"/>
          </w:tcPr>
          <w:p w:rsidR="00803C11" w:rsidRPr="002831B2" w:rsidRDefault="00803C11" w:rsidP="00673D57">
            <w:pPr>
              <w:snapToGrid w:val="0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sz w:val="18"/>
                <w:szCs w:val="18"/>
              </w:rPr>
              <w:t>Ocena objętości oraz funkcji dla prawej komory z badań 3D: - pomiary objętości (EDV, ESV, SV) oraz funkcji (EF) prawej komory, model 4D komory oparty na   konturach wsierdzia, dynamiczny model 4D prawej komory obejmujący cały cykl pracy serca, pół-automatyczne wykrywanie konturów wsierdzia w przestrzeni 3D, możliwość ręcznej zmiany konturów uzyskanego modelu 4D komory, automatyczne wykrywanie faz końcowo-rozkurczowej i końcowo-skurczowej, narzędzie do pomiaru TAPSE, pomiar FAC (</w:t>
            </w:r>
            <w:proofErr w:type="spellStart"/>
            <w:r w:rsidRPr="002831B2">
              <w:rPr>
                <w:sz w:val="18"/>
                <w:szCs w:val="18"/>
              </w:rPr>
              <w:t>Fractional</w:t>
            </w:r>
            <w:proofErr w:type="spellEnd"/>
            <w:r w:rsidRPr="002831B2">
              <w:rPr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sz w:val="18"/>
                <w:szCs w:val="18"/>
              </w:rPr>
              <w:t>Area</w:t>
            </w:r>
            <w:proofErr w:type="spellEnd"/>
            <w:r w:rsidRPr="002831B2">
              <w:rPr>
                <w:sz w:val="18"/>
                <w:szCs w:val="18"/>
              </w:rPr>
              <w:t xml:space="preserve"> </w:t>
            </w:r>
            <w:proofErr w:type="spellStart"/>
            <w:r w:rsidRPr="002831B2">
              <w:rPr>
                <w:sz w:val="18"/>
                <w:szCs w:val="18"/>
              </w:rPr>
              <w:t>Change</w:t>
            </w:r>
            <w:proofErr w:type="spellEnd"/>
            <w:r w:rsidRPr="002831B2">
              <w:rPr>
                <w:sz w:val="18"/>
                <w:szCs w:val="18"/>
              </w:rPr>
              <w:t>), zapis i eksport wyników.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  <w:shd w:val="clear" w:color="auto" w:fill="auto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>Oprogramowanie do w pełni automatycznego wyznaczenia objętości niedomykalności zastawki mitralnej (również wielostrumieniowej i ekscentrycznej) z danych 3D bazujące na algorytmach AI. Wynikiem analizy jest objętość fali zwrotnej, maksymalna prędkość przepływu oraz wykres prędkości przepływu zwrotnego w czasie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rPr>
                <w:sz w:val="18"/>
                <w:szCs w:val="18"/>
              </w:rPr>
            </w:pPr>
            <w:r w:rsidRPr="002831B2">
              <w:rPr>
                <w:sz w:val="18"/>
                <w:szCs w:val="18"/>
              </w:rPr>
              <w:t xml:space="preserve">Usługa archiwizacji oraz importu danych/transmisji w sieci komputerowej w standardzie DICOM 3.0, która umożliwia stacji roboczej używanie zewnętrznego PACS jako archiwum długoterminowego. Zawiera następujące usługi DICOM w celu przechowywania, pobierania lub wysyłania zapytań: -DICOM </w:t>
            </w:r>
            <w:proofErr w:type="spellStart"/>
            <w:r w:rsidRPr="002831B2">
              <w:rPr>
                <w:sz w:val="18"/>
                <w:szCs w:val="18"/>
              </w:rPr>
              <w:t>Receive</w:t>
            </w:r>
            <w:proofErr w:type="spellEnd"/>
            <w:r w:rsidRPr="002831B2">
              <w:rPr>
                <w:sz w:val="18"/>
                <w:szCs w:val="18"/>
              </w:rPr>
              <w:t xml:space="preserve">-DICOM </w:t>
            </w:r>
            <w:proofErr w:type="spellStart"/>
            <w:r w:rsidRPr="002831B2">
              <w:rPr>
                <w:sz w:val="18"/>
                <w:szCs w:val="18"/>
              </w:rPr>
              <w:t>Send</w:t>
            </w:r>
            <w:proofErr w:type="spellEnd"/>
            <w:r w:rsidRPr="002831B2">
              <w:rPr>
                <w:sz w:val="18"/>
                <w:szCs w:val="18"/>
              </w:rPr>
              <w:t xml:space="preserve">-DICOM Q/R User 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803C11">
            <w:pPr>
              <w:numPr>
                <w:ilvl w:val="0"/>
                <w:numId w:val="1"/>
              </w:numPr>
              <w:suppressAutoHyphens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245" w:type="dxa"/>
          </w:tcPr>
          <w:p w:rsidR="00803C11" w:rsidRPr="002831B2" w:rsidRDefault="00803C11" w:rsidP="00673D57">
            <w:pPr>
              <w:snapToGrid w:val="0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sz w:val="18"/>
                <w:szCs w:val="18"/>
              </w:rPr>
              <w:t>Kompleksowy, ustrukturyzowany pakiet raportowania umożliwiający generowanie wysokiej jakości standardowych raportów echokardiograficznych. Pomiary są automatycznie przesyłane z modalności U/S. Treść raportowania można łatwo dostosować do potrzeb klinicznych</w:t>
            </w:r>
          </w:p>
        </w:tc>
        <w:tc>
          <w:tcPr>
            <w:tcW w:w="1276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vAlign w:val="center"/>
          </w:tcPr>
          <w:p w:rsidR="00803C11" w:rsidRPr="002831B2" w:rsidRDefault="00803C11" w:rsidP="00673D57">
            <w:pPr>
              <w:ind w:right="28"/>
              <w:jc w:val="center"/>
              <w:rPr>
                <w:rFonts w:eastAsia="Arial"/>
                <w:sz w:val="18"/>
                <w:szCs w:val="18"/>
              </w:rPr>
            </w:pPr>
            <w:r w:rsidRPr="002831B2">
              <w:rPr>
                <w:rFonts w:eastAsia="Arial"/>
                <w:sz w:val="18"/>
                <w:szCs w:val="18"/>
              </w:rPr>
              <w:t>Bez oceny</w:t>
            </w: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03C11" w:rsidRPr="002831B2" w:rsidRDefault="00803C11" w:rsidP="00673D57">
            <w:pPr>
              <w:tabs>
                <w:tab w:val="right" w:pos="6838"/>
              </w:tabs>
              <w:jc w:val="center"/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</w:pPr>
            <w:r w:rsidRPr="002831B2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B.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803C11" w:rsidRPr="002831B2" w:rsidRDefault="00803C11" w:rsidP="00673D57">
            <w:pPr>
              <w:tabs>
                <w:tab w:val="right" w:pos="6838"/>
              </w:tabs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2831B2">
              <w:rPr>
                <w:rFonts w:eastAsiaTheme="minorHAnsi"/>
                <w:b/>
                <w:sz w:val="18"/>
                <w:szCs w:val="18"/>
                <w:lang w:val="en-US" w:eastAsia="en-US" w:bidi="en-US"/>
              </w:rPr>
              <w:t>INNE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03C11" w:rsidRPr="002831B2" w:rsidRDefault="00803C11" w:rsidP="00673D57">
            <w:pPr>
              <w:tabs>
                <w:tab w:val="right" w:pos="6838"/>
              </w:tabs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803C11" w:rsidRPr="002831B2" w:rsidRDefault="00803C11" w:rsidP="00673D57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803C11" w:rsidRPr="002831B2" w:rsidRDefault="00803C11" w:rsidP="00673D57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673D57">
            <w:pPr>
              <w:tabs>
                <w:tab w:val="right" w:pos="6838"/>
              </w:tabs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val="en-US" w:eastAsia="en-US" w:bidi="en-US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03C11" w:rsidRPr="002831B2" w:rsidRDefault="00803C11" w:rsidP="00673D57">
            <w:pPr>
              <w:jc w:val="both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2831B2">
              <w:rPr>
                <w:rFonts w:eastAsia="Calibri"/>
                <w:sz w:val="18"/>
                <w:szCs w:val="18"/>
                <w:shd w:val="clear" w:color="auto" w:fill="FFFFFF"/>
                <w:lang w:eastAsia="en-US" w:bidi="en-US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C11" w:rsidRPr="002831B2" w:rsidRDefault="00803C11" w:rsidP="00673D57">
            <w:pPr>
              <w:snapToGrid w:val="0"/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val="en-US" w:eastAsia="en-US" w:bidi="en-US"/>
              </w:rPr>
              <w:t xml:space="preserve">TAK z </w:t>
            </w:r>
            <w:proofErr w:type="spellStart"/>
            <w:r w:rsidRPr="002831B2">
              <w:rPr>
                <w:rFonts w:eastAsiaTheme="minorHAnsi"/>
                <w:sz w:val="18"/>
                <w:szCs w:val="18"/>
                <w:lang w:val="en-US" w:eastAsia="en-US" w:bidi="en-US"/>
              </w:rPr>
              <w:t>dostawą</w:t>
            </w:r>
            <w:proofErr w:type="spellEnd"/>
          </w:p>
        </w:tc>
        <w:tc>
          <w:tcPr>
            <w:tcW w:w="1559" w:type="dxa"/>
          </w:tcPr>
          <w:p w:rsidR="00803C11" w:rsidRPr="002831B2" w:rsidRDefault="00803C11" w:rsidP="00673D57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673D57">
            <w:pPr>
              <w:tabs>
                <w:tab w:val="right" w:pos="6838"/>
              </w:tabs>
              <w:jc w:val="center"/>
              <w:rPr>
                <w:rFonts w:eastAsiaTheme="minorHAnsi"/>
                <w:sz w:val="18"/>
                <w:szCs w:val="18"/>
                <w:lang w:val="en-US"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val="en-US" w:eastAsia="en-US" w:bidi="en-US"/>
              </w:rPr>
              <w:lastRenderedPageBreak/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>Czy producent zaleca wykonywanie przeglądów technicznych?</w:t>
            </w:r>
          </w:p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>Jeżeli TAK podać częstotliwość wykonania przeglądów technicznych zalecanych przez producenta</w:t>
            </w:r>
          </w:p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>W przypadku odpowiedzi TAK:</w:t>
            </w:r>
          </w:p>
          <w:p w:rsidR="00803C11" w:rsidRPr="002831B2" w:rsidRDefault="00803C11" w:rsidP="00673D57">
            <w:pPr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C11" w:rsidRPr="002831B2" w:rsidRDefault="00803C11" w:rsidP="00673D57">
            <w:pPr>
              <w:jc w:val="center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>TAK/NIE</w:t>
            </w:r>
            <w:r w:rsidRPr="002831B2">
              <w:rPr>
                <w:rFonts w:eastAsiaTheme="minorHAnsi"/>
                <w:sz w:val="18"/>
                <w:szCs w:val="18"/>
                <w:vertAlign w:val="superscript"/>
                <w:lang w:val="en-US" w:eastAsia="en-US" w:bidi="en-US"/>
              </w:rPr>
              <w:footnoteReference w:id="2"/>
            </w:r>
          </w:p>
          <w:p w:rsidR="00803C11" w:rsidRPr="002831B2" w:rsidRDefault="00803C11" w:rsidP="00673D57">
            <w:pPr>
              <w:jc w:val="center"/>
              <w:rPr>
                <w:rFonts w:eastAsiaTheme="minorHAnsi"/>
                <w:sz w:val="18"/>
                <w:szCs w:val="18"/>
                <w:lang w:eastAsia="en-US" w:bidi="en-US"/>
              </w:rPr>
            </w:pPr>
            <w:r w:rsidRPr="002831B2">
              <w:rPr>
                <w:rFonts w:eastAsiaTheme="minorHAnsi"/>
                <w:sz w:val="18"/>
                <w:szCs w:val="18"/>
                <w:lang w:eastAsia="en-US" w:bidi="en-US"/>
              </w:rPr>
              <w:t>Podać jeśli zalecane</w:t>
            </w:r>
          </w:p>
        </w:tc>
        <w:tc>
          <w:tcPr>
            <w:tcW w:w="1559" w:type="dxa"/>
          </w:tcPr>
          <w:p w:rsidR="00803C11" w:rsidRPr="002831B2" w:rsidRDefault="00803C11" w:rsidP="00673D57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673D57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03C11" w:rsidRPr="002831B2" w:rsidRDefault="00803C11" w:rsidP="00673D57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Czy w oferowanym aparacie przetwarzane są dane osobowe  (np. imię, nazwisko, pesel, data urodzenia,  płeć, itd.)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C11" w:rsidRPr="002831B2" w:rsidRDefault="00803C11" w:rsidP="00673D57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TAK/ NIE</w:t>
            </w:r>
            <w:r w:rsidRPr="002831B2">
              <w:rPr>
                <w:sz w:val="18"/>
                <w:szCs w:val="18"/>
                <w:vertAlign w:val="superscript"/>
                <w:lang w:eastAsia="zh-CN"/>
              </w:rPr>
              <w:footnoteReference w:id="3"/>
            </w:r>
            <w:r w:rsidRPr="002831B2">
              <w:rPr>
                <w:sz w:val="18"/>
                <w:szCs w:val="18"/>
                <w:lang w:eastAsia="zh-CN"/>
              </w:rPr>
              <w:t xml:space="preserve">  Jeżeli tak, podać jakie</w:t>
            </w:r>
          </w:p>
        </w:tc>
        <w:tc>
          <w:tcPr>
            <w:tcW w:w="1559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803C11" w:rsidRPr="002831B2" w:rsidTr="00673D57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03C11" w:rsidRPr="002831B2" w:rsidRDefault="00803C11" w:rsidP="00673D57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803C11" w:rsidRPr="002831B2" w:rsidRDefault="00803C11" w:rsidP="00673D57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Czy Wykonawca będzie wymagał zdalnego dostępu do zasobów sieci teleinformatycznej Zamawiającego w celu realizacji zobowiązań wynikających z umowy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3C11" w:rsidRPr="002831B2" w:rsidRDefault="00803C11" w:rsidP="00673D57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TAK/ NIE</w:t>
            </w:r>
            <w:r w:rsidRPr="002831B2">
              <w:rPr>
                <w:rStyle w:val="Odwoanieprzypisudolnego"/>
                <w:sz w:val="18"/>
                <w:szCs w:val="18"/>
                <w:lang w:eastAsia="zh-CN"/>
              </w:rPr>
              <w:footnoteReference w:id="4"/>
            </w:r>
            <w:r w:rsidRPr="002831B2">
              <w:rPr>
                <w:sz w:val="18"/>
                <w:szCs w:val="18"/>
                <w:lang w:eastAsia="zh-CN"/>
              </w:rPr>
              <w:t xml:space="preserve">  Jeżeli tak, podać</w:t>
            </w:r>
          </w:p>
        </w:tc>
        <w:tc>
          <w:tcPr>
            <w:tcW w:w="1559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</w:tcPr>
          <w:p w:rsidR="00803C11" w:rsidRPr="002831B2" w:rsidRDefault="00803C11" w:rsidP="00673D57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</w:tbl>
    <w:p w:rsidR="00803C11" w:rsidRPr="00ED05BB" w:rsidRDefault="00803C11" w:rsidP="00ED05BB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sz w:val="22"/>
          <w:szCs w:val="22"/>
          <w:lang w:eastAsia="zh-CN"/>
        </w:rPr>
      </w:pPr>
    </w:p>
    <w:p w:rsidR="0037716D" w:rsidRPr="00D2353C" w:rsidRDefault="0037716D" w:rsidP="00C45F27">
      <w:pPr>
        <w:tabs>
          <w:tab w:val="left" w:pos="5812"/>
          <w:tab w:val="left" w:pos="9781"/>
        </w:tabs>
        <w:suppressAutoHyphens/>
        <w:jc w:val="both"/>
        <w:rPr>
          <w:b/>
          <w:bCs/>
          <w:sz w:val="22"/>
          <w:szCs w:val="22"/>
          <w:lang w:eastAsia="zh-CN"/>
        </w:rPr>
      </w:pPr>
    </w:p>
    <w:p w:rsidR="0037716D" w:rsidRPr="00D2353C" w:rsidRDefault="0037716D" w:rsidP="0037716D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37716D" w:rsidRPr="00D2353C" w:rsidRDefault="0037716D" w:rsidP="0037716D">
      <w:pPr>
        <w:rPr>
          <w:b/>
          <w:sz w:val="20"/>
          <w:szCs w:val="20"/>
          <w:lang w:eastAsia="ar-SA"/>
        </w:rPr>
      </w:pPr>
      <w:r w:rsidRPr="00D2353C">
        <w:rPr>
          <w:b/>
          <w:sz w:val="20"/>
          <w:szCs w:val="20"/>
          <w:lang w:eastAsia="ar-SA"/>
        </w:rPr>
        <w:t xml:space="preserve">Treść oświadczenia wykonawcy: </w:t>
      </w:r>
    </w:p>
    <w:p w:rsidR="0037716D" w:rsidRPr="00D2353C" w:rsidRDefault="0037716D" w:rsidP="00803C11">
      <w:pPr>
        <w:numPr>
          <w:ilvl w:val="0"/>
          <w:numId w:val="4"/>
        </w:numPr>
        <w:suppressAutoHyphens/>
        <w:ind w:right="119"/>
        <w:jc w:val="both"/>
        <w:rPr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37716D" w:rsidRPr="00D2353C" w:rsidRDefault="0037716D" w:rsidP="00803C11">
      <w:pPr>
        <w:numPr>
          <w:ilvl w:val="0"/>
          <w:numId w:val="4"/>
        </w:numPr>
        <w:suppressAutoHyphens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D2353C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37716D" w:rsidRPr="00D2353C" w:rsidRDefault="0037716D" w:rsidP="0037716D">
      <w:pPr>
        <w:rPr>
          <w:sz w:val="14"/>
          <w:szCs w:val="14"/>
        </w:rPr>
      </w:pPr>
      <w:r w:rsidRPr="00D2353C">
        <w:rPr>
          <w:sz w:val="14"/>
          <w:szCs w:val="14"/>
        </w:rPr>
        <w:t xml:space="preserve"> </w:t>
      </w:r>
    </w:p>
    <w:sectPr w:rsidR="0037716D" w:rsidRPr="00D2353C" w:rsidSect="00C45F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4AD" w:rsidRDefault="006D44AD" w:rsidP="0060037D">
      <w:r>
        <w:separator/>
      </w:r>
    </w:p>
  </w:endnote>
  <w:endnote w:type="continuationSeparator" w:id="0">
    <w:p w:rsidR="006D44AD" w:rsidRDefault="006D44AD" w:rsidP="0060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4AD" w:rsidRDefault="006D44AD" w:rsidP="0060037D">
      <w:r>
        <w:separator/>
      </w:r>
    </w:p>
  </w:footnote>
  <w:footnote w:type="continuationSeparator" w:id="0">
    <w:p w:rsidR="006D44AD" w:rsidRDefault="006D44AD" w:rsidP="0060037D">
      <w:r>
        <w:continuationSeparator/>
      </w:r>
    </w:p>
  </w:footnote>
  <w:footnote w:id="1">
    <w:p w:rsidR="00803C11" w:rsidRPr="00F95DD4" w:rsidRDefault="00803C11" w:rsidP="00803C11">
      <w:pPr>
        <w:pStyle w:val="Tekstprzypisudolnego"/>
        <w:rPr>
          <w:sz w:val="18"/>
          <w:szCs w:val="18"/>
        </w:rPr>
      </w:pPr>
      <w:r w:rsidRPr="000148C6">
        <w:rPr>
          <w:rFonts w:eastAsia="Calibri"/>
          <w:b/>
          <w:sz w:val="18"/>
          <w:szCs w:val="18"/>
          <w:u w:val="single"/>
          <w:vertAlign w:val="superscript"/>
          <w:lang w:eastAsia="en-US"/>
        </w:rPr>
        <w:footnoteRef/>
      </w:r>
      <w:r w:rsidRPr="000148C6">
        <w:rPr>
          <w:rFonts w:eastAsia="Calibri"/>
          <w:b/>
          <w:sz w:val="18"/>
          <w:szCs w:val="18"/>
          <w:u w:val="single"/>
          <w:lang w:eastAsia="en-US"/>
        </w:rPr>
        <w:t xml:space="preserve"> UWAGA! Jeżeli poszczególne elementy posiadają różne stawki % VAT, należy wpisać wartości oddzielnie dla każdej stawki</w:t>
      </w:r>
    </w:p>
  </w:footnote>
  <w:footnote w:id="2">
    <w:p w:rsidR="00803C11" w:rsidRPr="00803C11" w:rsidRDefault="00803C11" w:rsidP="00803C11">
      <w:pPr>
        <w:rPr>
          <w:rFonts w:eastAsiaTheme="minorHAnsi"/>
          <w:sz w:val="20"/>
          <w:szCs w:val="20"/>
          <w:lang w:eastAsia="en-US" w:bidi="en-US"/>
        </w:rPr>
      </w:pPr>
      <w:r w:rsidRPr="00ED05BB">
        <w:rPr>
          <w:rFonts w:eastAsiaTheme="minorHAnsi"/>
          <w:sz w:val="20"/>
          <w:szCs w:val="20"/>
          <w:lang w:eastAsia="en-US" w:bidi="en-US"/>
        </w:rPr>
        <w:t>*Odpowiedź NIE w przypadku parametrów wymaganych  powoduje odrzucenie oferty</w:t>
      </w:r>
    </w:p>
  </w:footnote>
  <w:footnote w:id="3">
    <w:p w:rsidR="00803C11" w:rsidRDefault="00803C11" w:rsidP="00803C11">
      <w:pPr>
        <w:pStyle w:val="Tekstprzypisudolnego"/>
      </w:pPr>
    </w:p>
  </w:footnote>
  <w:footnote w:id="4">
    <w:p w:rsidR="00803C11" w:rsidRDefault="00803C11" w:rsidP="00803C1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2" w15:restartNumberingAfterBreak="0">
    <w:nsid w:val="042F3AFB"/>
    <w:multiLevelType w:val="hybridMultilevel"/>
    <w:tmpl w:val="964A2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A27CE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ED853B6"/>
    <w:multiLevelType w:val="hybridMultilevel"/>
    <w:tmpl w:val="811A44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EA041F"/>
    <w:multiLevelType w:val="hybridMultilevel"/>
    <w:tmpl w:val="FBFEEE08"/>
    <w:styleLink w:val="WW8Num291132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5093BF1"/>
    <w:multiLevelType w:val="singleLevel"/>
    <w:tmpl w:val="A80C7290"/>
    <w:styleLink w:val="WW8Num2913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756"/>
    <w:rsid w:val="000076C4"/>
    <w:rsid w:val="000133EF"/>
    <w:rsid w:val="00013C5A"/>
    <w:rsid w:val="00026294"/>
    <w:rsid w:val="00036D5F"/>
    <w:rsid w:val="00053DE5"/>
    <w:rsid w:val="000718D2"/>
    <w:rsid w:val="00075BE2"/>
    <w:rsid w:val="00082674"/>
    <w:rsid w:val="0008632D"/>
    <w:rsid w:val="00086A6C"/>
    <w:rsid w:val="00094999"/>
    <w:rsid w:val="000B1065"/>
    <w:rsid w:val="000B4607"/>
    <w:rsid w:val="000B524C"/>
    <w:rsid w:val="000C506A"/>
    <w:rsid w:val="000C540E"/>
    <w:rsid w:val="000D1D05"/>
    <w:rsid w:val="000E5362"/>
    <w:rsid w:val="000F679D"/>
    <w:rsid w:val="000F7D5D"/>
    <w:rsid w:val="0011198E"/>
    <w:rsid w:val="001221B8"/>
    <w:rsid w:val="00137419"/>
    <w:rsid w:val="00153CD0"/>
    <w:rsid w:val="00154CDF"/>
    <w:rsid w:val="00170C63"/>
    <w:rsid w:val="0018533C"/>
    <w:rsid w:val="00191F49"/>
    <w:rsid w:val="00192677"/>
    <w:rsid w:val="001D4BC9"/>
    <w:rsid w:val="001D6DA4"/>
    <w:rsid w:val="001E3673"/>
    <w:rsid w:val="001F2A1E"/>
    <w:rsid w:val="001F62BA"/>
    <w:rsid w:val="00202CA8"/>
    <w:rsid w:val="002030B2"/>
    <w:rsid w:val="0020425F"/>
    <w:rsid w:val="002055A8"/>
    <w:rsid w:val="00212CD4"/>
    <w:rsid w:val="00246BE7"/>
    <w:rsid w:val="002536D9"/>
    <w:rsid w:val="00283206"/>
    <w:rsid w:val="002910E3"/>
    <w:rsid w:val="0029190E"/>
    <w:rsid w:val="00292AE0"/>
    <w:rsid w:val="00296D51"/>
    <w:rsid w:val="00296FF0"/>
    <w:rsid w:val="002A7C36"/>
    <w:rsid w:val="002B315A"/>
    <w:rsid w:val="002C55FB"/>
    <w:rsid w:val="002D2E5D"/>
    <w:rsid w:val="002E2F7E"/>
    <w:rsid w:val="002F1F0A"/>
    <w:rsid w:val="002F7D08"/>
    <w:rsid w:val="00312DE7"/>
    <w:rsid w:val="003450DA"/>
    <w:rsid w:val="0034645B"/>
    <w:rsid w:val="00351BB3"/>
    <w:rsid w:val="00352DF9"/>
    <w:rsid w:val="00357D32"/>
    <w:rsid w:val="00363FBA"/>
    <w:rsid w:val="0037472F"/>
    <w:rsid w:val="00376BE4"/>
    <w:rsid w:val="0037716D"/>
    <w:rsid w:val="00390A6D"/>
    <w:rsid w:val="0039421F"/>
    <w:rsid w:val="003A00DA"/>
    <w:rsid w:val="003A1556"/>
    <w:rsid w:val="003A54FC"/>
    <w:rsid w:val="003A6B6D"/>
    <w:rsid w:val="003B454D"/>
    <w:rsid w:val="003B4886"/>
    <w:rsid w:val="003B755B"/>
    <w:rsid w:val="003B7DC2"/>
    <w:rsid w:val="003C4AA8"/>
    <w:rsid w:val="003E1741"/>
    <w:rsid w:val="003F29E1"/>
    <w:rsid w:val="003F5FBE"/>
    <w:rsid w:val="0040209A"/>
    <w:rsid w:val="004028ED"/>
    <w:rsid w:val="00413AD3"/>
    <w:rsid w:val="00420D76"/>
    <w:rsid w:val="00426A96"/>
    <w:rsid w:val="0044051A"/>
    <w:rsid w:val="00454F1D"/>
    <w:rsid w:val="00466ECC"/>
    <w:rsid w:val="004723F1"/>
    <w:rsid w:val="004808FA"/>
    <w:rsid w:val="00490311"/>
    <w:rsid w:val="0049035F"/>
    <w:rsid w:val="004A553A"/>
    <w:rsid w:val="004B1CC9"/>
    <w:rsid w:val="004B5C64"/>
    <w:rsid w:val="004D6792"/>
    <w:rsid w:val="004E2ECB"/>
    <w:rsid w:val="004F1444"/>
    <w:rsid w:val="00512DC2"/>
    <w:rsid w:val="00514A55"/>
    <w:rsid w:val="00523150"/>
    <w:rsid w:val="0052724C"/>
    <w:rsid w:val="00534F62"/>
    <w:rsid w:val="00540F6A"/>
    <w:rsid w:val="00562715"/>
    <w:rsid w:val="00571BE8"/>
    <w:rsid w:val="00577ED5"/>
    <w:rsid w:val="005829D1"/>
    <w:rsid w:val="00587F97"/>
    <w:rsid w:val="0059535B"/>
    <w:rsid w:val="005A5147"/>
    <w:rsid w:val="005B457B"/>
    <w:rsid w:val="005B4DAB"/>
    <w:rsid w:val="005F43D0"/>
    <w:rsid w:val="005F72A2"/>
    <w:rsid w:val="0060037D"/>
    <w:rsid w:val="00605C1D"/>
    <w:rsid w:val="0061042B"/>
    <w:rsid w:val="006335C5"/>
    <w:rsid w:val="0065421C"/>
    <w:rsid w:val="006616B7"/>
    <w:rsid w:val="00664EFB"/>
    <w:rsid w:val="006711E3"/>
    <w:rsid w:val="00674BEC"/>
    <w:rsid w:val="00675E50"/>
    <w:rsid w:val="006816E9"/>
    <w:rsid w:val="00684B34"/>
    <w:rsid w:val="00684D22"/>
    <w:rsid w:val="00685CF0"/>
    <w:rsid w:val="006A0F59"/>
    <w:rsid w:val="006A1962"/>
    <w:rsid w:val="006A4F82"/>
    <w:rsid w:val="006B7ED2"/>
    <w:rsid w:val="006C497C"/>
    <w:rsid w:val="006D0EF2"/>
    <w:rsid w:val="006D44AD"/>
    <w:rsid w:val="006D4D4D"/>
    <w:rsid w:val="006D65CA"/>
    <w:rsid w:val="006E0125"/>
    <w:rsid w:val="006E01F1"/>
    <w:rsid w:val="006F33EE"/>
    <w:rsid w:val="0070518A"/>
    <w:rsid w:val="00706D96"/>
    <w:rsid w:val="007109BD"/>
    <w:rsid w:val="007144FA"/>
    <w:rsid w:val="00714A08"/>
    <w:rsid w:val="0072296D"/>
    <w:rsid w:val="00745E81"/>
    <w:rsid w:val="00751A33"/>
    <w:rsid w:val="00761A37"/>
    <w:rsid w:val="00763981"/>
    <w:rsid w:val="007742B8"/>
    <w:rsid w:val="007778C8"/>
    <w:rsid w:val="00786D34"/>
    <w:rsid w:val="00787ACC"/>
    <w:rsid w:val="007A43DA"/>
    <w:rsid w:val="007B24DF"/>
    <w:rsid w:val="007B3522"/>
    <w:rsid w:val="007E1FD7"/>
    <w:rsid w:val="007F4310"/>
    <w:rsid w:val="008004F0"/>
    <w:rsid w:val="00803C11"/>
    <w:rsid w:val="00825B56"/>
    <w:rsid w:val="008304C6"/>
    <w:rsid w:val="00841B50"/>
    <w:rsid w:val="0084687C"/>
    <w:rsid w:val="00850E0A"/>
    <w:rsid w:val="008529F0"/>
    <w:rsid w:val="00854140"/>
    <w:rsid w:val="0086103B"/>
    <w:rsid w:val="00882378"/>
    <w:rsid w:val="00883C5F"/>
    <w:rsid w:val="00883E94"/>
    <w:rsid w:val="00884A28"/>
    <w:rsid w:val="00886714"/>
    <w:rsid w:val="008A05EB"/>
    <w:rsid w:val="008A1E40"/>
    <w:rsid w:val="008B79B2"/>
    <w:rsid w:val="008C4ECA"/>
    <w:rsid w:val="008C7BC6"/>
    <w:rsid w:val="008C7CAE"/>
    <w:rsid w:val="008D0011"/>
    <w:rsid w:val="008D3E72"/>
    <w:rsid w:val="008D6750"/>
    <w:rsid w:val="008E59AD"/>
    <w:rsid w:val="008E7A20"/>
    <w:rsid w:val="008F10BD"/>
    <w:rsid w:val="008F1A4E"/>
    <w:rsid w:val="0090109E"/>
    <w:rsid w:val="00904DD9"/>
    <w:rsid w:val="00907424"/>
    <w:rsid w:val="00913828"/>
    <w:rsid w:val="00914C87"/>
    <w:rsid w:val="00915553"/>
    <w:rsid w:val="00921D40"/>
    <w:rsid w:val="009441A3"/>
    <w:rsid w:val="00946999"/>
    <w:rsid w:val="00956BA1"/>
    <w:rsid w:val="00962E25"/>
    <w:rsid w:val="00965F0B"/>
    <w:rsid w:val="00965FD0"/>
    <w:rsid w:val="009705F6"/>
    <w:rsid w:val="00970FDC"/>
    <w:rsid w:val="00980A8C"/>
    <w:rsid w:val="00987766"/>
    <w:rsid w:val="0099548B"/>
    <w:rsid w:val="009A32B2"/>
    <w:rsid w:val="009A50DA"/>
    <w:rsid w:val="009B08B2"/>
    <w:rsid w:val="009B4C9F"/>
    <w:rsid w:val="009B661F"/>
    <w:rsid w:val="009C4D3D"/>
    <w:rsid w:val="009F3E2F"/>
    <w:rsid w:val="009F5A8D"/>
    <w:rsid w:val="009F628B"/>
    <w:rsid w:val="00A00080"/>
    <w:rsid w:val="00A05022"/>
    <w:rsid w:val="00A21AC8"/>
    <w:rsid w:val="00A35C29"/>
    <w:rsid w:val="00A43AB8"/>
    <w:rsid w:val="00A4603C"/>
    <w:rsid w:val="00A5203C"/>
    <w:rsid w:val="00A77714"/>
    <w:rsid w:val="00A82305"/>
    <w:rsid w:val="00A868EC"/>
    <w:rsid w:val="00A967BA"/>
    <w:rsid w:val="00A96F16"/>
    <w:rsid w:val="00AA5599"/>
    <w:rsid w:val="00AB0BD5"/>
    <w:rsid w:val="00AB12C3"/>
    <w:rsid w:val="00AC0B4D"/>
    <w:rsid w:val="00AC785B"/>
    <w:rsid w:val="00AC786E"/>
    <w:rsid w:val="00AD4695"/>
    <w:rsid w:val="00AE338D"/>
    <w:rsid w:val="00AF0885"/>
    <w:rsid w:val="00AF0998"/>
    <w:rsid w:val="00AF1ED6"/>
    <w:rsid w:val="00AF7380"/>
    <w:rsid w:val="00B04010"/>
    <w:rsid w:val="00B108ED"/>
    <w:rsid w:val="00B113AC"/>
    <w:rsid w:val="00B20200"/>
    <w:rsid w:val="00B24D2A"/>
    <w:rsid w:val="00B47F41"/>
    <w:rsid w:val="00B66435"/>
    <w:rsid w:val="00B71E13"/>
    <w:rsid w:val="00B83475"/>
    <w:rsid w:val="00BA7BB3"/>
    <w:rsid w:val="00BA7DE8"/>
    <w:rsid w:val="00BC0969"/>
    <w:rsid w:val="00BC1BB1"/>
    <w:rsid w:val="00BC6498"/>
    <w:rsid w:val="00BD05C6"/>
    <w:rsid w:val="00C07163"/>
    <w:rsid w:val="00C13B9A"/>
    <w:rsid w:val="00C21544"/>
    <w:rsid w:val="00C23261"/>
    <w:rsid w:val="00C36A2C"/>
    <w:rsid w:val="00C447EC"/>
    <w:rsid w:val="00C45F27"/>
    <w:rsid w:val="00C53B33"/>
    <w:rsid w:val="00C70C3F"/>
    <w:rsid w:val="00C71461"/>
    <w:rsid w:val="00C75B19"/>
    <w:rsid w:val="00C90D09"/>
    <w:rsid w:val="00C96707"/>
    <w:rsid w:val="00CA2BE6"/>
    <w:rsid w:val="00CA392C"/>
    <w:rsid w:val="00CC0E5A"/>
    <w:rsid w:val="00CC3380"/>
    <w:rsid w:val="00CC4756"/>
    <w:rsid w:val="00CD06FC"/>
    <w:rsid w:val="00CD1E0B"/>
    <w:rsid w:val="00CD4F3F"/>
    <w:rsid w:val="00CE23C7"/>
    <w:rsid w:val="00CE6063"/>
    <w:rsid w:val="00CF205C"/>
    <w:rsid w:val="00D013BB"/>
    <w:rsid w:val="00D10DE7"/>
    <w:rsid w:val="00D14CB4"/>
    <w:rsid w:val="00D2353C"/>
    <w:rsid w:val="00D25D7F"/>
    <w:rsid w:val="00D347F1"/>
    <w:rsid w:val="00D43B52"/>
    <w:rsid w:val="00D44DEF"/>
    <w:rsid w:val="00D45615"/>
    <w:rsid w:val="00D52E49"/>
    <w:rsid w:val="00D54803"/>
    <w:rsid w:val="00D57AB1"/>
    <w:rsid w:val="00D733C9"/>
    <w:rsid w:val="00D74030"/>
    <w:rsid w:val="00DA32E2"/>
    <w:rsid w:val="00DB2930"/>
    <w:rsid w:val="00DC0C76"/>
    <w:rsid w:val="00DD0932"/>
    <w:rsid w:val="00DD48F9"/>
    <w:rsid w:val="00DD7582"/>
    <w:rsid w:val="00DF1E60"/>
    <w:rsid w:val="00DF30A9"/>
    <w:rsid w:val="00DF76A2"/>
    <w:rsid w:val="00E01C5E"/>
    <w:rsid w:val="00E15A15"/>
    <w:rsid w:val="00E15EAE"/>
    <w:rsid w:val="00E2230E"/>
    <w:rsid w:val="00E32B55"/>
    <w:rsid w:val="00E35456"/>
    <w:rsid w:val="00E42EEE"/>
    <w:rsid w:val="00E555AA"/>
    <w:rsid w:val="00E65364"/>
    <w:rsid w:val="00E67210"/>
    <w:rsid w:val="00E716FB"/>
    <w:rsid w:val="00E76023"/>
    <w:rsid w:val="00E82275"/>
    <w:rsid w:val="00E9722D"/>
    <w:rsid w:val="00EA382B"/>
    <w:rsid w:val="00EA7BED"/>
    <w:rsid w:val="00EC4DEA"/>
    <w:rsid w:val="00EC5420"/>
    <w:rsid w:val="00ED05BB"/>
    <w:rsid w:val="00ED1E65"/>
    <w:rsid w:val="00ED4052"/>
    <w:rsid w:val="00ED61C8"/>
    <w:rsid w:val="00ED62A9"/>
    <w:rsid w:val="00EE2674"/>
    <w:rsid w:val="00F01C91"/>
    <w:rsid w:val="00F2535D"/>
    <w:rsid w:val="00F46874"/>
    <w:rsid w:val="00F50FA1"/>
    <w:rsid w:val="00F80EFC"/>
    <w:rsid w:val="00F81FEF"/>
    <w:rsid w:val="00F8202B"/>
    <w:rsid w:val="00F8322F"/>
    <w:rsid w:val="00F845D1"/>
    <w:rsid w:val="00F851CF"/>
    <w:rsid w:val="00F97C9C"/>
    <w:rsid w:val="00FA1FCF"/>
    <w:rsid w:val="00FA3F26"/>
    <w:rsid w:val="00FB5801"/>
    <w:rsid w:val="00FC219A"/>
    <w:rsid w:val="00FC26CD"/>
    <w:rsid w:val="00FD343B"/>
    <w:rsid w:val="00FE5CD3"/>
    <w:rsid w:val="00FF45C5"/>
    <w:rsid w:val="00FF4CB6"/>
    <w:rsid w:val="00FF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10C96"/>
  <w15:docId w15:val="{BC8B69EA-F685-473F-9DDE-51BB0B30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05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4140"/>
    <w:pPr>
      <w:keepNext/>
      <w:outlineLvl w:val="2"/>
    </w:pPr>
    <w:rPr>
      <w:rFonts w:ascii="Comic Sans MS" w:hAnsi="Comic Sans MS"/>
      <w:b/>
      <w:bCs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CC4756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C4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4756"/>
    <w:rPr>
      <w:rFonts w:cs="Times New Roman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CC4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10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CE606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99"/>
    <w:rsid w:val="00CE6063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CE6063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E606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3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3C9"/>
    <w:rPr>
      <w:rFonts w:ascii="Tahoma" w:hAnsi="Tahoma" w:cs="Tahoma"/>
      <w:sz w:val="16"/>
      <w:szCs w:val="16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600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37D"/>
    <w:rPr>
      <w:rFonts w:cs="Times New Roman"/>
      <w:sz w:val="24"/>
      <w:szCs w:val="24"/>
      <w:lang w:val="en-US" w:bidi="en-US"/>
    </w:rPr>
  </w:style>
  <w:style w:type="character" w:styleId="Pogrubienie">
    <w:name w:val="Strong"/>
    <w:basedOn w:val="Domylnaczcionkaakapitu"/>
    <w:uiPriority w:val="22"/>
    <w:qFormat/>
    <w:rsid w:val="00850E0A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F97C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97C9C"/>
    <w:pPr>
      <w:widowControl w:val="0"/>
      <w:autoSpaceDE w:val="0"/>
      <w:autoSpaceDN w:val="0"/>
    </w:pPr>
    <w:rPr>
      <w:sz w:val="15"/>
      <w:szCs w:val="15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97C9C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Normalny"/>
    <w:uiPriority w:val="1"/>
    <w:qFormat/>
    <w:rsid w:val="00F97C9C"/>
    <w:pPr>
      <w:widowControl w:val="0"/>
      <w:autoSpaceDE w:val="0"/>
      <w:autoSpaceDN w:val="0"/>
    </w:pPr>
    <w:rPr>
      <w:sz w:val="22"/>
      <w:szCs w:val="2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0C506A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C50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0C506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854140"/>
    <w:rPr>
      <w:rFonts w:ascii="Comic Sans MS" w:eastAsia="Times New Roman" w:hAnsi="Comic Sans MS" w:cs="Times New Roman"/>
      <w:b/>
      <w:bCs/>
      <w:sz w:val="18"/>
      <w:lang w:eastAsia="pl-PL"/>
    </w:rPr>
  </w:style>
  <w:style w:type="character" w:customStyle="1" w:styleId="Teksttreci">
    <w:name w:val="Tekst treści_"/>
    <w:link w:val="Teksttreci0"/>
    <w:uiPriority w:val="99"/>
    <w:locked/>
    <w:rsid w:val="00854140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54140"/>
    <w:pPr>
      <w:shd w:val="clear" w:color="auto" w:fill="FFFFFF"/>
      <w:spacing w:line="240" w:lineRule="atLeast"/>
    </w:pPr>
    <w:rPr>
      <w:rFonts w:cstheme="minorBidi"/>
      <w:sz w:val="17"/>
      <w:szCs w:val="22"/>
    </w:rPr>
  </w:style>
  <w:style w:type="character" w:customStyle="1" w:styleId="TekstprzypisudolnegoZnak1">
    <w:name w:val="Tekst przypisu dolnego Znak1"/>
    <w:aliases w:val="Podrozdział Znak1"/>
    <w:uiPriority w:val="99"/>
    <w:locked/>
    <w:rsid w:val="00C71461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91132">
    <w:name w:val="WW8Num291132"/>
    <w:rsid w:val="00C71461"/>
    <w:pPr>
      <w:numPr>
        <w:numId w:val="2"/>
      </w:numPr>
    </w:pPr>
  </w:style>
  <w:style w:type="numbering" w:customStyle="1" w:styleId="WW8Num29132">
    <w:name w:val="WW8Num29132"/>
    <w:rsid w:val="00C71461"/>
    <w:pPr>
      <w:numPr>
        <w:numId w:val="3"/>
      </w:numPr>
    </w:pPr>
  </w:style>
  <w:style w:type="character" w:styleId="Hipercze">
    <w:name w:val="Hyperlink"/>
    <w:rsid w:val="001221B8"/>
    <w:rPr>
      <w:color w:val="0000FF"/>
      <w:u w:val="singl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1221B8"/>
    <w:rPr>
      <w:rFonts w:cs="Times New Roman"/>
      <w:sz w:val="24"/>
      <w:szCs w:val="24"/>
      <w:lang w:val="en-US" w:bidi="en-US"/>
    </w:rPr>
  </w:style>
  <w:style w:type="paragraph" w:customStyle="1" w:styleId="Standard">
    <w:name w:val="Standard"/>
    <w:rsid w:val="00675E50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A"/>
      <w:kern w:val="3"/>
      <w:sz w:val="24"/>
      <w:szCs w:val="24"/>
      <w:lang w:eastAsia="hi-IN" w:bidi="hi-IN"/>
    </w:rPr>
  </w:style>
  <w:style w:type="character" w:styleId="Wyrnieniedelikatne">
    <w:name w:val="Subtle Emphasis"/>
    <w:rsid w:val="00675E50"/>
    <w:rPr>
      <w:i/>
      <w:iCs/>
      <w:color w:val="404040"/>
    </w:rPr>
  </w:style>
  <w:style w:type="paragraph" w:customStyle="1" w:styleId="Domynie">
    <w:name w:val="Domy徑nie"/>
    <w:rsid w:val="00714A08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paragraph" w:customStyle="1" w:styleId="Default">
    <w:name w:val="Default"/>
    <w:rsid w:val="00BC6498"/>
    <w:pPr>
      <w:suppressAutoHyphens/>
      <w:autoSpaceDE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zh-CN"/>
    </w:rPr>
  </w:style>
  <w:style w:type="table" w:customStyle="1" w:styleId="Tabela-Siatka2">
    <w:name w:val="Tabela - Siatka2"/>
    <w:basedOn w:val="Standardowy"/>
    <w:next w:val="Tabela-Siatka"/>
    <w:uiPriority w:val="39"/>
    <w:rsid w:val="00FD3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D05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Bezodstpw1">
    <w:name w:val="Bez odstępów1"/>
    <w:rsid w:val="00420D7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ekstkomentarza1">
    <w:name w:val="Tekst komentarza1"/>
    <w:basedOn w:val="Normalny"/>
    <w:rsid w:val="00376BE4"/>
    <w:pPr>
      <w:suppressAutoHyphens/>
    </w:pPr>
    <w:rPr>
      <w:sz w:val="20"/>
      <w:szCs w:val="20"/>
      <w:lang w:eastAsia="ar-SA"/>
    </w:rPr>
  </w:style>
  <w:style w:type="paragraph" w:customStyle="1" w:styleId="Bezodstpw2">
    <w:name w:val="Bez odstępów2"/>
    <w:rsid w:val="00D456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1B08F-323D-4C99-80ED-C5C78578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10</Pages>
  <Words>4216</Words>
  <Characters>25302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socjalny</dc:creator>
  <cp:lastModifiedBy>Monika Brosch</cp:lastModifiedBy>
  <cp:revision>26</cp:revision>
  <cp:lastPrinted>2024-08-30T11:14:00Z</cp:lastPrinted>
  <dcterms:created xsi:type="dcterms:W3CDTF">2024-04-28T21:01:00Z</dcterms:created>
  <dcterms:modified xsi:type="dcterms:W3CDTF">2024-10-25T09:44:00Z</dcterms:modified>
</cp:coreProperties>
</file>