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69DD256D"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280AF6">
        <w:rPr>
          <w:rFonts w:asciiTheme="minorHAnsi" w:hAnsiTheme="minorHAnsi" w:cstheme="minorHAnsi"/>
          <w:bCs/>
          <w:sz w:val="22"/>
          <w:szCs w:val="22"/>
        </w:rPr>
        <w:t>„</w:t>
      </w:r>
      <w:r w:rsidR="002B10E4">
        <w:rPr>
          <w:rFonts w:ascii="Calibri" w:hAnsi="Calibri" w:cs="Calibri"/>
          <w:bCs/>
          <w:sz w:val="22"/>
          <w:szCs w:val="22"/>
        </w:rPr>
        <w:t>Dostawy jabłek, ziemniaków, warzyw do Aresztu Śledczego w Warszawie-Grochowie</w:t>
      </w:r>
      <w:r w:rsidR="00B00B89">
        <w:rPr>
          <w:rFonts w:asciiTheme="minorHAnsi" w:hAnsiTheme="minorHAnsi" w:cstheme="minorHAnsi"/>
          <w:bCs/>
          <w:sz w:val="22"/>
          <w:szCs w:val="22"/>
        </w:rPr>
        <w:t>.</w:t>
      </w:r>
      <w:r w:rsidR="00B00B89" w:rsidRPr="00280AF6">
        <w:rPr>
          <w:rFonts w:asciiTheme="minorHAnsi" w:hAnsiTheme="minorHAnsi" w:cstheme="minorHAnsi"/>
          <w:bCs/>
          <w:sz w:val="22"/>
          <w:szCs w:val="22"/>
        </w:rPr>
        <w:t>”</w:t>
      </w:r>
    </w:p>
    <w:p w14:paraId="33A73DA7" w14:textId="30FE7618"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526341">
        <w:rPr>
          <w:rFonts w:asciiTheme="minorHAnsi" w:hAnsiTheme="minorHAnsi" w:cstheme="minorHAnsi"/>
          <w:b w:val="0"/>
          <w:bCs/>
          <w:color w:val="FF0000"/>
          <w:sz w:val="22"/>
          <w:szCs w:val="22"/>
        </w:rPr>
        <w:t>223</w:t>
      </w:r>
      <w:r w:rsidR="00B31FF9" w:rsidRPr="00526341">
        <w:rPr>
          <w:rFonts w:asciiTheme="minorHAnsi" w:hAnsiTheme="minorHAnsi" w:cstheme="minorHAnsi"/>
          <w:b w:val="0"/>
          <w:bCs/>
          <w:color w:val="FF0000"/>
          <w:sz w:val="22"/>
          <w:szCs w:val="22"/>
        </w:rPr>
        <w:t>2</w:t>
      </w:r>
      <w:r w:rsidR="000736EF" w:rsidRPr="00526341">
        <w:rPr>
          <w:rFonts w:asciiTheme="minorHAnsi" w:hAnsiTheme="minorHAnsi" w:cstheme="minorHAnsi"/>
          <w:b w:val="0"/>
          <w:bCs/>
          <w:color w:val="FF0000"/>
          <w:sz w:val="22"/>
          <w:szCs w:val="22"/>
        </w:rPr>
        <w:t>.</w:t>
      </w:r>
      <w:r w:rsidR="002B10E4">
        <w:rPr>
          <w:rFonts w:asciiTheme="minorHAnsi" w:hAnsiTheme="minorHAnsi" w:cstheme="minorHAnsi"/>
          <w:b w:val="0"/>
          <w:bCs/>
          <w:color w:val="FF0000"/>
          <w:sz w:val="22"/>
          <w:szCs w:val="22"/>
        </w:rPr>
        <w:t>4</w:t>
      </w:r>
      <w:r w:rsidR="000736EF" w:rsidRPr="00526341">
        <w:rPr>
          <w:rFonts w:asciiTheme="minorHAnsi" w:hAnsiTheme="minorHAnsi" w:cstheme="minorHAnsi"/>
          <w:b w:val="0"/>
          <w:bCs/>
          <w:color w:val="FF0000"/>
          <w:sz w:val="22"/>
          <w:szCs w:val="22"/>
        </w:rPr>
        <w:t>.20</w:t>
      </w:r>
      <w:r w:rsidR="00EF24AF" w:rsidRPr="00526341">
        <w:rPr>
          <w:rFonts w:asciiTheme="minorHAnsi" w:hAnsiTheme="minorHAnsi" w:cstheme="minorHAnsi"/>
          <w:b w:val="0"/>
          <w:bCs/>
          <w:color w:val="FF0000"/>
          <w:sz w:val="22"/>
          <w:szCs w:val="22"/>
        </w:rPr>
        <w:t>2</w:t>
      </w:r>
      <w:r w:rsidR="00114373">
        <w:rPr>
          <w:rFonts w:asciiTheme="minorHAnsi" w:hAnsiTheme="minorHAnsi" w:cstheme="minorHAnsi"/>
          <w:b w:val="0"/>
          <w:bCs/>
          <w:color w:val="FF0000"/>
          <w:sz w:val="22"/>
          <w:szCs w:val="22"/>
        </w:rPr>
        <w:t>5</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13844BF" w14:textId="735C659B" w:rsidR="003B2D0B" w:rsidRPr="00B27236" w:rsidRDefault="00B27236" w:rsidP="003B2D0B">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6DDD8038" w14:textId="2767978D" w:rsidR="00DB7D59" w:rsidRPr="00E50FE7" w:rsidRDefault="00EE0BC8" w:rsidP="00E50FE7">
      <w:pPr>
        <w:pStyle w:val="Legenda"/>
        <w:tabs>
          <w:tab w:val="left" w:pos="0"/>
        </w:tabs>
        <w:spacing w:line="280" w:lineRule="exac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p>
    <w:p w14:paraId="6493D55F" w14:textId="77777777" w:rsidR="00DB7D59" w:rsidRPr="00DB7D59" w:rsidRDefault="00DB7D59" w:rsidP="00DB7D59">
      <w:pPr>
        <w:rPr>
          <w:lang w:bidi="hi-IN"/>
        </w:rPr>
      </w:pPr>
    </w:p>
    <w:p w14:paraId="3774CA83" w14:textId="246025FB" w:rsidR="002458A9" w:rsidRPr="004D0BF2" w:rsidRDefault="002458A9" w:rsidP="002458A9">
      <w:pPr>
        <w:rPr>
          <w:rFonts w:asciiTheme="minorHAnsi" w:hAnsiTheme="minorHAnsi"/>
          <w:sz w:val="22"/>
          <w:szCs w:val="22"/>
          <w:lang w:bidi="hi-IN"/>
        </w:rPr>
      </w:pPr>
    </w:p>
    <w:p w14:paraId="73ED1B01" w14:textId="046CF7C9" w:rsidR="00E50FE7" w:rsidRPr="00E50FE7" w:rsidRDefault="00E50FE7" w:rsidP="00E50FE7">
      <w:pPr>
        <w:pStyle w:val="Legenda"/>
        <w:tabs>
          <w:tab w:val="left" w:pos="0"/>
        </w:tabs>
        <w:spacing w:line="280" w:lineRule="exact"/>
        <w:rPr>
          <w:rFonts w:asciiTheme="minorHAnsi" w:eastAsia="Times New Roman" w:hAnsiTheme="minorHAnsi" w:cstheme="minorHAnsi"/>
          <w:bCs/>
          <w:sz w:val="22"/>
          <w:szCs w:val="22"/>
          <w:lang w:bidi="hi-IN"/>
        </w:rPr>
      </w:pPr>
    </w:p>
    <w:p w14:paraId="6A31ECB9" w14:textId="77777777" w:rsidR="00E50FE7" w:rsidRPr="00114373" w:rsidRDefault="00E50FE7" w:rsidP="00E50FE7">
      <w:pPr>
        <w:pStyle w:val="Legenda"/>
        <w:rPr>
          <w:rFonts w:asciiTheme="minorHAnsi" w:eastAsia="Times New Roman" w:hAnsiTheme="minorHAnsi" w:cstheme="minorHAnsi"/>
          <w:bCs/>
          <w:sz w:val="22"/>
          <w:szCs w:val="22"/>
          <w:lang w:bidi="hi-IN"/>
        </w:rPr>
      </w:pPr>
      <w:r w:rsidRPr="00E50FE7">
        <w:rPr>
          <w:rFonts w:asciiTheme="minorHAnsi" w:eastAsia="Times New Roman" w:hAnsiTheme="minorHAnsi" w:cstheme="minorHAnsi"/>
          <w:bCs/>
          <w:sz w:val="22"/>
          <w:szCs w:val="22"/>
          <w:lang w:bidi="hi-IN"/>
        </w:rPr>
        <w:t xml:space="preserve">                                                                                                                                    </w:t>
      </w:r>
      <w:r w:rsidRPr="00114373">
        <w:rPr>
          <w:rFonts w:asciiTheme="minorHAnsi" w:eastAsia="Times New Roman" w:hAnsiTheme="minorHAnsi" w:cstheme="minorHAnsi"/>
          <w:bCs/>
          <w:sz w:val="22"/>
          <w:szCs w:val="22"/>
          <w:lang w:bidi="hi-IN"/>
        </w:rPr>
        <w:t>DYREKTOR</w:t>
      </w:r>
    </w:p>
    <w:p w14:paraId="18535CB0" w14:textId="0959AB65" w:rsidR="00E50FE7" w:rsidRPr="00114373" w:rsidRDefault="00E50FE7" w:rsidP="00E50FE7">
      <w:pPr>
        <w:pStyle w:val="Legenda"/>
        <w:tabs>
          <w:tab w:val="left" w:pos="0"/>
        </w:tabs>
        <w:spacing w:line="280" w:lineRule="exact"/>
        <w:rPr>
          <w:rFonts w:asciiTheme="minorHAnsi" w:eastAsia="Times New Roman" w:hAnsiTheme="minorHAnsi" w:cstheme="minorHAnsi"/>
          <w:bCs/>
          <w:sz w:val="22"/>
          <w:szCs w:val="22"/>
          <w:lang w:bidi="hi-IN"/>
        </w:rPr>
      </w:pP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t xml:space="preserve">                 Aresztu Śledczego w Warszawie-Grochowie</w:t>
      </w:r>
    </w:p>
    <w:p w14:paraId="5117797E" w14:textId="77777777" w:rsidR="00E50FE7" w:rsidRPr="00114373" w:rsidRDefault="00E50FE7" w:rsidP="00E50FE7">
      <w:pPr>
        <w:pStyle w:val="Legenda"/>
        <w:tabs>
          <w:tab w:val="left" w:pos="0"/>
        </w:tabs>
        <w:spacing w:line="280" w:lineRule="exact"/>
        <w:rPr>
          <w:rFonts w:asciiTheme="minorHAnsi" w:eastAsia="Times New Roman" w:hAnsiTheme="minorHAnsi" w:cstheme="minorHAnsi"/>
          <w:bCs/>
          <w:sz w:val="22"/>
          <w:szCs w:val="22"/>
          <w:lang w:bidi="hi-IN"/>
        </w:rPr>
      </w:pPr>
    </w:p>
    <w:p w14:paraId="0C9CC166" w14:textId="52D5784B" w:rsidR="00E50FE7" w:rsidRPr="00E50FE7" w:rsidRDefault="00E50FE7" w:rsidP="00E50FE7">
      <w:pPr>
        <w:pStyle w:val="Legenda"/>
        <w:rPr>
          <w:rFonts w:asciiTheme="minorHAnsi" w:eastAsia="Times New Roman" w:hAnsiTheme="minorHAnsi" w:cstheme="minorHAnsi"/>
          <w:bCs/>
          <w:sz w:val="22"/>
          <w:szCs w:val="22"/>
          <w:lang w:bidi="hi-IN"/>
        </w:rPr>
      </w:pP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r>
      <w:r w:rsidRPr="00114373">
        <w:rPr>
          <w:rFonts w:asciiTheme="minorHAnsi" w:eastAsia="Times New Roman" w:hAnsiTheme="minorHAnsi" w:cstheme="minorHAnsi"/>
          <w:bCs/>
          <w:sz w:val="22"/>
          <w:szCs w:val="22"/>
          <w:lang w:bidi="hi-IN"/>
        </w:rPr>
        <w:tab/>
        <w:t xml:space="preserve">                        płk </w:t>
      </w:r>
      <w:r w:rsidR="00B21742" w:rsidRPr="00114373">
        <w:rPr>
          <w:rFonts w:asciiTheme="minorHAnsi" w:eastAsia="Times New Roman" w:hAnsiTheme="minorHAnsi" w:cstheme="minorHAnsi"/>
          <w:bCs/>
          <w:sz w:val="22"/>
          <w:szCs w:val="22"/>
          <w:lang w:bidi="hi-IN"/>
        </w:rPr>
        <w:t>Piotr Kosewski</w:t>
      </w:r>
    </w:p>
    <w:p w14:paraId="19F394FF" w14:textId="74B42BBC" w:rsidR="0087533F" w:rsidRDefault="0087533F" w:rsidP="006E6DBC">
      <w:pPr>
        <w:pStyle w:val="Legenda"/>
        <w:tabs>
          <w:tab w:val="left" w:pos="0"/>
        </w:tabs>
        <w:spacing w:line="280" w:lineRule="exact"/>
        <w:rPr>
          <w:rFonts w:asciiTheme="minorHAnsi" w:eastAsia="Times New Roman" w:hAnsiTheme="minorHAnsi" w:cstheme="minorHAnsi"/>
          <w:b w:val="0"/>
          <w:bCs/>
          <w:sz w:val="22"/>
          <w:szCs w:val="22"/>
          <w:lang w:bidi="hi-IN"/>
        </w:rPr>
      </w:pPr>
    </w:p>
    <w:p w14:paraId="32DC2C0F" w14:textId="77777777" w:rsidR="006E6DBC" w:rsidRDefault="006E6DBC" w:rsidP="006E6DBC">
      <w:pPr>
        <w:rPr>
          <w:lang w:bidi="hi-IN"/>
        </w:rPr>
      </w:pPr>
    </w:p>
    <w:p w14:paraId="78B676D1" w14:textId="77777777" w:rsidR="006E6DBC" w:rsidRDefault="006E6DBC" w:rsidP="006E6DBC">
      <w:pPr>
        <w:rPr>
          <w:lang w:bidi="hi-IN"/>
        </w:rPr>
      </w:pPr>
    </w:p>
    <w:p w14:paraId="298E92AF" w14:textId="7D3DB8FE" w:rsidR="0051644E" w:rsidRPr="00280AF6" w:rsidRDefault="00BF2BD0" w:rsidP="00E50FE7">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w:t>
      </w:r>
      <w:r w:rsidR="002B10E4">
        <w:rPr>
          <w:rFonts w:asciiTheme="minorHAnsi" w:eastAsia="Times New Roman" w:hAnsiTheme="minorHAnsi" w:cstheme="minorHAnsi"/>
          <w:b w:val="0"/>
          <w:bCs/>
          <w:sz w:val="22"/>
          <w:szCs w:val="22"/>
          <w:lang w:bidi="hi-IN"/>
        </w:rPr>
        <w:t>Marta Kulma-Rechul</w:t>
      </w:r>
      <w:r w:rsidR="00B60418">
        <w:rPr>
          <w:rFonts w:asciiTheme="minorHAnsi" w:eastAsia="Times New Roman" w:hAnsiTheme="minorHAnsi" w:cstheme="minorHAnsi"/>
          <w:b w:val="0"/>
          <w:bCs/>
          <w:sz w:val="22"/>
          <w:szCs w:val="22"/>
          <w:lang w:bidi="hi-IN"/>
        </w:rPr>
        <w:t xml:space="preserve">  </w:t>
      </w:r>
    </w:p>
    <w:p w14:paraId="1B008E7C" w14:textId="58FE5029" w:rsidR="008E7CC1" w:rsidRDefault="00373DA3"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sz w:val="22"/>
          <w:szCs w:val="22"/>
          <w:lang w:bidi="hi-IN"/>
        </w:rPr>
        <w:t>Warszawa, dnia</w:t>
      </w:r>
      <w:r w:rsidR="009A3B8D">
        <w:rPr>
          <w:rFonts w:asciiTheme="minorHAnsi" w:eastAsia="Times New Roman" w:hAnsiTheme="minorHAnsi" w:cstheme="minorHAnsi"/>
          <w:b w:val="0"/>
          <w:sz w:val="22"/>
          <w:szCs w:val="22"/>
          <w:lang w:bidi="hi-IN"/>
        </w:rPr>
        <w:t xml:space="preserve"> </w:t>
      </w:r>
      <w:r w:rsidR="00114373">
        <w:rPr>
          <w:rFonts w:asciiTheme="minorHAnsi" w:eastAsia="Times New Roman" w:hAnsiTheme="minorHAnsi" w:cstheme="minorHAnsi"/>
          <w:b w:val="0"/>
          <w:color w:val="FF0000"/>
          <w:sz w:val="22"/>
          <w:szCs w:val="22"/>
          <w:lang w:bidi="hi-IN"/>
        </w:rPr>
        <w:t>0</w:t>
      </w:r>
      <w:r w:rsidR="00127D40">
        <w:rPr>
          <w:rFonts w:asciiTheme="minorHAnsi" w:eastAsia="Times New Roman" w:hAnsiTheme="minorHAnsi" w:cstheme="minorHAnsi"/>
          <w:b w:val="0"/>
          <w:color w:val="FF0000"/>
          <w:sz w:val="22"/>
          <w:szCs w:val="22"/>
          <w:lang w:bidi="hi-IN"/>
        </w:rPr>
        <w:t>6</w:t>
      </w:r>
      <w:r w:rsidR="00C048E6" w:rsidRPr="00B21742">
        <w:rPr>
          <w:rFonts w:asciiTheme="minorHAnsi" w:eastAsia="Times New Roman" w:hAnsiTheme="minorHAnsi" w:cstheme="minorHAnsi"/>
          <w:b w:val="0"/>
          <w:color w:val="FF0000"/>
          <w:sz w:val="22"/>
          <w:szCs w:val="22"/>
          <w:lang w:bidi="hi-IN"/>
        </w:rPr>
        <w:t>.</w:t>
      </w:r>
      <w:r w:rsidR="00114373">
        <w:rPr>
          <w:rFonts w:asciiTheme="minorHAnsi" w:eastAsia="Times New Roman" w:hAnsiTheme="minorHAnsi" w:cstheme="minorHAnsi"/>
          <w:b w:val="0"/>
          <w:color w:val="FF0000"/>
          <w:sz w:val="22"/>
          <w:szCs w:val="22"/>
          <w:lang w:bidi="hi-IN"/>
        </w:rPr>
        <w:t>06</w:t>
      </w:r>
      <w:r w:rsidR="00C048E6" w:rsidRPr="00B21742">
        <w:rPr>
          <w:rFonts w:asciiTheme="minorHAnsi" w:eastAsia="Times New Roman" w:hAnsiTheme="minorHAnsi" w:cstheme="minorHAnsi"/>
          <w:b w:val="0"/>
          <w:color w:val="FF0000"/>
          <w:sz w:val="22"/>
          <w:szCs w:val="22"/>
          <w:lang w:bidi="hi-IN"/>
        </w:rPr>
        <w:t>.202</w:t>
      </w:r>
      <w:r w:rsidR="00114373">
        <w:rPr>
          <w:rFonts w:asciiTheme="minorHAnsi" w:eastAsia="Times New Roman" w:hAnsiTheme="minorHAnsi" w:cstheme="minorHAnsi"/>
          <w:b w:val="0"/>
          <w:color w:val="FF0000"/>
          <w:sz w:val="22"/>
          <w:szCs w:val="22"/>
          <w:lang w:bidi="hi-IN"/>
        </w:rPr>
        <w:t>5</w:t>
      </w:r>
      <w:r w:rsidR="00C048E6" w:rsidRPr="00B21742">
        <w:rPr>
          <w:rFonts w:asciiTheme="minorHAnsi" w:eastAsia="Times New Roman" w:hAnsiTheme="minorHAnsi" w:cstheme="minorHAnsi"/>
          <w:b w:val="0"/>
          <w:color w:val="FF0000"/>
          <w:sz w:val="22"/>
          <w:szCs w:val="22"/>
          <w:lang w:bidi="hi-IN"/>
        </w:rPr>
        <w:t>r.</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41C1FA3A"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41BCBB1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Pr="00741E8F">
              <w:rPr>
                <w:rStyle w:val="Hipercze"/>
                <w:rFonts w:asciiTheme="minorHAnsi" w:hAnsiTheme="minorHAnsi"/>
                <w:noProof/>
                <w:sz w:val="22"/>
                <w:szCs w:val="22"/>
              </w:rPr>
              <w:t>Rozdział 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Tryb udzielenia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_Toc153287009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30E7DEEC" w14:textId="4ED2C4F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Pr="00741E8F">
              <w:rPr>
                <w:rStyle w:val="Hipercze"/>
                <w:rFonts w:asciiTheme="minorHAnsi" w:hAnsiTheme="minorHAnsi"/>
                <w:noProof/>
                <w:sz w:val="22"/>
                <w:szCs w:val="22"/>
              </w:rPr>
              <w:t>Rozdział 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przedmiotu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4A5FBF9A" w14:textId="4B6F9A0D"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Pr="00741E8F">
              <w:rPr>
                <w:rStyle w:val="Hipercze"/>
                <w:rFonts w:asciiTheme="minorHAnsi" w:hAnsiTheme="minorHAnsi"/>
                <w:noProof/>
                <w:sz w:val="22"/>
                <w:szCs w:val="22"/>
              </w:rPr>
              <w:t>Rozdział 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części zamówienia, jeżeli zamawiający dopuszcza składanie ofert częściowych.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564655CE" w14:textId="26B4F0A4"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Pr="00741E8F">
              <w:rPr>
                <w:rStyle w:val="Hipercze"/>
                <w:rFonts w:asciiTheme="minorHAnsi" w:hAnsiTheme="minorHAnsi"/>
                <w:noProof/>
                <w:sz w:val="22"/>
                <w:szCs w:val="22"/>
              </w:rPr>
              <w:t>Rozdział 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realizacji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3569806" w14:textId="0E4F2D1E"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Pr="00741E8F">
              <w:rPr>
                <w:rStyle w:val="Hipercze"/>
                <w:rFonts w:asciiTheme="minorHAnsi" w:hAnsiTheme="minorHAnsi"/>
                <w:noProof/>
                <w:sz w:val="22"/>
                <w:szCs w:val="22"/>
              </w:rPr>
              <w:t>Rozdział 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0C13165E" w14:textId="40CDB7A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Pr="00741E8F">
              <w:rPr>
                <w:rStyle w:val="Hipercze"/>
                <w:rFonts w:asciiTheme="minorHAnsi" w:hAnsiTheme="minorHAnsi"/>
                <w:noProof/>
                <w:sz w:val="22"/>
                <w:szCs w:val="22"/>
              </w:rPr>
              <w:t>Rozdział 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przedmiotowych środkach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534DD51C" w14:textId="1232EDFD"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Pr="00741E8F">
              <w:rPr>
                <w:rStyle w:val="Hipercze"/>
                <w:rFonts w:asciiTheme="minorHAnsi" w:hAnsiTheme="minorHAnsi"/>
                <w:noProof/>
                <w:sz w:val="22"/>
                <w:szCs w:val="22"/>
              </w:rPr>
              <w:t>Rozdział 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warunkach udziału w postępowaniu o udzielenie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BF57F84" w14:textId="39091FE0"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Pr="00741E8F">
              <w:rPr>
                <w:rStyle w:val="Hipercze"/>
                <w:rFonts w:asciiTheme="minorHAnsi" w:hAnsiTheme="minorHAnsi"/>
                <w:noProof/>
                <w:sz w:val="22"/>
                <w:szCs w:val="22"/>
              </w:rPr>
              <w:t>Rozdział 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podstawach wykluczenia.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5</w:t>
            </w:r>
            <w:r w:rsidRPr="00741E8F">
              <w:rPr>
                <w:rFonts w:asciiTheme="minorHAnsi" w:hAnsiTheme="minorHAnsi"/>
                <w:noProof/>
                <w:webHidden/>
                <w:sz w:val="22"/>
                <w:szCs w:val="22"/>
              </w:rPr>
              <w:fldChar w:fldCharType="end"/>
            </w:r>
          </w:hyperlink>
        </w:p>
        <w:p w14:paraId="4429DDD1" w14:textId="01B29EB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Pr="00741E8F">
              <w:rPr>
                <w:rStyle w:val="Hipercze"/>
                <w:rFonts w:asciiTheme="minorHAnsi" w:hAnsiTheme="minorHAnsi"/>
                <w:noProof/>
                <w:sz w:val="22"/>
                <w:szCs w:val="22"/>
              </w:rPr>
              <w:t>Rozdział 10.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Wykaz podmiotowych środków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_Toc153287017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7</w:t>
            </w:r>
            <w:r w:rsidRPr="00741E8F">
              <w:rPr>
                <w:rFonts w:asciiTheme="minorHAnsi" w:hAnsiTheme="minorHAnsi"/>
                <w:noProof/>
                <w:webHidden/>
                <w:sz w:val="22"/>
                <w:szCs w:val="22"/>
              </w:rPr>
              <w:fldChar w:fldCharType="end"/>
            </w:r>
          </w:hyperlink>
        </w:p>
        <w:p w14:paraId="152F864D" w14:textId="3043D35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Pr="00741E8F">
              <w:rPr>
                <w:rStyle w:val="Hipercze"/>
                <w:rFonts w:asciiTheme="minorHAnsi" w:hAnsiTheme="minorHAnsi"/>
                <w:noProof/>
                <w:sz w:val="22"/>
                <w:szCs w:val="22"/>
              </w:rPr>
              <w:t>Rozdział 11.</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Wymagania dotyczące wadium, jeżeli zamawiający przewiduje obowiązek wniesienia wadium.</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_Toc153287018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8</w:t>
            </w:r>
            <w:r w:rsidRPr="00741E8F">
              <w:rPr>
                <w:rFonts w:asciiTheme="minorHAnsi" w:hAnsiTheme="minorHAnsi"/>
                <w:noProof/>
                <w:webHidden/>
                <w:sz w:val="22"/>
                <w:szCs w:val="22"/>
              </w:rPr>
              <w:fldChar w:fldCharType="end"/>
            </w:r>
          </w:hyperlink>
        </w:p>
        <w:p w14:paraId="5B3FF69D" w14:textId="307B665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Pr="00741E8F">
              <w:rPr>
                <w:rStyle w:val="Hipercze"/>
                <w:rFonts w:asciiTheme="minorHAnsi" w:hAnsiTheme="minorHAnsi"/>
                <w:noProof/>
                <w:sz w:val="22"/>
                <w:szCs w:val="22"/>
              </w:rPr>
              <w:t>Rozdział 12.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sposobie porozumiewania się zamawiającego z wykonawcami oraz przekazywania oświadczeń lub dokumentów.</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8</w:t>
            </w:r>
            <w:r w:rsidRPr="00741E8F">
              <w:rPr>
                <w:rFonts w:asciiTheme="minorHAnsi" w:hAnsiTheme="minorHAnsi"/>
                <w:noProof/>
                <w:webHidden/>
                <w:sz w:val="22"/>
                <w:szCs w:val="22"/>
              </w:rPr>
              <w:fldChar w:fldCharType="end"/>
            </w:r>
          </w:hyperlink>
        </w:p>
        <w:p w14:paraId="3FE4B92E" w14:textId="3CDC941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Pr="00741E8F">
              <w:rPr>
                <w:rStyle w:val="Hipercze"/>
                <w:rFonts w:asciiTheme="minorHAnsi" w:hAnsiTheme="minorHAnsi"/>
                <w:noProof/>
                <w:sz w:val="22"/>
                <w:szCs w:val="22"/>
              </w:rPr>
              <w:t>Rozdział 13.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sposobu przygotowywania oferty oraz dokumentów wymaganych przez zamawiającego w SWZ.</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10</w:t>
            </w:r>
            <w:r w:rsidRPr="00741E8F">
              <w:rPr>
                <w:rFonts w:asciiTheme="minorHAnsi" w:hAnsiTheme="minorHAnsi"/>
                <w:noProof/>
                <w:webHidden/>
                <w:sz w:val="22"/>
                <w:szCs w:val="22"/>
              </w:rPr>
              <w:fldChar w:fldCharType="end"/>
            </w:r>
          </w:hyperlink>
        </w:p>
        <w:p w14:paraId="44A0F2E0" w14:textId="624A5594"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Pr="00741E8F">
              <w:rPr>
                <w:rStyle w:val="Hipercze"/>
                <w:rFonts w:asciiTheme="minorHAnsi" w:hAnsiTheme="minorHAnsi"/>
                <w:noProof/>
                <w:sz w:val="22"/>
                <w:szCs w:val="22"/>
              </w:rPr>
              <w:t>Rozdział 14.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obliczenia ceny.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12</w:t>
            </w:r>
            <w:r w:rsidRPr="00741E8F">
              <w:rPr>
                <w:rFonts w:asciiTheme="minorHAnsi" w:hAnsiTheme="minorHAnsi"/>
                <w:noProof/>
                <w:webHidden/>
                <w:sz w:val="22"/>
                <w:szCs w:val="22"/>
              </w:rPr>
              <w:fldChar w:fldCharType="end"/>
            </w:r>
          </w:hyperlink>
        </w:p>
        <w:p w14:paraId="6D925B0E" w14:textId="233BC604"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Pr="00741E8F">
              <w:rPr>
                <w:rStyle w:val="Hipercze"/>
                <w:rFonts w:asciiTheme="minorHAnsi" w:hAnsiTheme="minorHAnsi"/>
                <w:noProof/>
                <w:sz w:val="22"/>
                <w:szCs w:val="22"/>
              </w:rPr>
              <w:t>Rozdział 15.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oraz termin składania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12</w:t>
            </w:r>
            <w:r w:rsidRPr="00741E8F">
              <w:rPr>
                <w:rFonts w:asciiTheme="minorHAnsi" w:hAnsiTheme="minorHAnsi"/>
                <w:noProof/>
                <w:webHidden/>
                <w:sz w:val="22"/>
                <w:szCs w:val="22"/>
              </w:rPr>
              <w:fldChar w:fldCharType="end"/>
            </w:r>
          </w:hyperlink>
        </w:p>
        <w:p w14:paraId="22BC2691" w14:textId="6FA2B48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Pr="00741E8F">
              <w:rPr>
                <w:rStyle w:val="Hipercze"/>
                <w:rFonts w:asciiTheme="minorHAnsi" w:hAnsiTheme="minorHAnsi"/>
                <w:noProof/>
                <w:sz w:val="22"/>
                <w:szCs w:val="22"/>
              </w:rPr>
              <w:t>Rozdział 16.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Otwarcie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12</w:t>
            </w:r>
            <w:r w:rsidRPr="00741E8F">
              <w:rPr>
                <w:rFonts w:asciiTheme="minorHAnsi" w:hAnsiTheme="minorHAnsi"/>
                <w:noProof/>
                <w:webHidden/>
                <w:sz w:val="22"/>
                <w:szCs w:val="22"/>
              </w:rPr>
              <w:fldChar w:fldCharType="end"/>
            </w:r>
          </w:hyperlink>
        </w:p>
        <w:p w14:paraId="27205388" w14:textId="6F305A78"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Pr="00741E8F">
              <w:rPr>
                <w:rStyle w:val="Hipercze"/>
                <w:rFonts w:asciiTheme="minorHAnsi" w:hAnsiTheme="minorHAnsi"/>
                <w:noProof/>
                <w:sz w:val="22"/>
                <w:szCs w:val="22"/>
              </w:rPr>
              <w:t>Rozdział 17.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związania ofertą.</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1E314D7E" w14:textId="320374DC"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Pr="00741E8F">
              <w:rPr>
                <w:rStyle w:val="Hipercze"/>
                <w:rFonts w:asciiTheme="minorHAnsi" w:hAnsiTheme="minorHAnsi"/>
                <w:noProof/>
                <w:sz w:val="22"/>
                <w:szCs w:val="22"/>
              </w:rPr>
              <w:t>Rozdział 18.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kryteriów oceny ofert wraz z podaniem wag tych kryteriów i sposobu oceny ofert.</w:t>
            </w:r>
            <w:r w:rsidRPr="00741E8F">
              <w:rPr>
                <w:rFonts w:asciiTheme="minorHAnsi" w:hAnsiTheme="minorHAnsi"/>
                <w:noProof/>
                <w:webHidden/>
                <w:sz w:val="22"/>
                <w:szCs w:val="22"/>
              </w:rPr>
              <w:tab/>
            </w:r>
            <w:r w:rsidR="00DB7D59">
              <w:rPr>
                <w:rFonts w:asciiTheme="minorHAnsi" w:hAnsiTheme="minorHAnsi"/>
                <w:noProof/>
                <w:webHidden/>
                <w:sz w:val="22"/>
                <w:szCs w:val="22"/>
              </w:rPr>
              <w:t>………………………………………………………………………………………………………………………………</w:t>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6476A061" w14:textId="20B9DEDB"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Pr="00741E8F">
              <w:rPr>
                <w:rStyle w:val="Hipercze"/>
                <w:rFonts w:asciiTheme="minorHAnsi" w:hAnsiTheme="minorHAnsi"/>
                <w:noProof/>
                <w:sz w:val="22"/>
                <w:szCs w:val="22"/>
              </w:rPr>
              <w:t>Rozdział 19.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35F39FA0" w14:textId="4CD0FFE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7" w:history="1">
            <w:r w:rsidRPr="00741E8F">
              <w:rPr>
                <w:rStyle w:val="Hipercze"/>
                <w:rFonts w:asciiTheme="minorHAnsi" w:hAnsiTheme="minorHAnsi"/>
                <w:noProof/>
                <w:sz w:val="22"/>
                <w:szCs w:val="22"/>
              </w:rPr>
              <w:t>Rozdział 20.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_Toc153287027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5E3F96AA" w14:textId="705CECAC"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8" w:history="1">
            <w:r w:rsidRPr="00741E8F">
              <w:rPr>
                <w:rStyle w:val="Hipercze"/>
                <w:rFonts w:asciiTheme="minorHAnsi" w:hAnsiTheme="minorHAnsi"/>
                <w:noProof/>
                <w:sz w:val="22"/>
                <w:szCs w:val="22"/>
              </w:rPr>
              <w:t>Rozdział 21.</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Pouczenie o środkach ochrony prawnej przysługujących wykonawcy.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_Toc153287028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0465C840" w14:textId="1FAA58E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Pr="00741E8F">
              <w:rPr>
                <w:rStyle w:val="Hipercze"/>
                <w:rFonts w:asciiTheme="minorHAnsi" w:hAnsiTheme="minorHAnsi"/>
                <w:noProof/>
                <w:sz w:val="22"/>
                <w:szCs w:val="22"/>
              </w:rPr>
              <w:t>Rozdział 2</w:t>
            </w:r>
            <w:r w:rsidR="00C66C3E">
              <w:rPr>
                <w:rStyle w:val="Hipercze"/>
                <w:rFonts w:asciiTheme="minorHAnsi" w:hAnsiTheme="minorHAnsi"/>
                <w:noProof/>
                <w:sz w:val="22"/>
                <w:szCs w:val="22"/>
              </w:rPr>
              <w:t>2</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15</w:t>
            </w:r>
            <w:r w:rsidRPr="00741E8F">
              <w:rPr>
                <w:rFonts w:asciiTheme="minorHAnsi" w:hAnsiTheme="minorHAnsi"/>
                <w:noProof/>
                <w:webHidden/>
                <w:sz w:val="22"/>
                <w:szCs w:val="22"/>
              </w:rPr>
              <w:fldChar w:fldCharType="end"/>
            </w:r>
          </w:hyperlink>
        </w:p>
        <w:p w14:paraId="4FBFE59D" w14:textId="77550426" w:rsid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Pr="00741E8F">
              <w:rPr>
                <w:rStyle w:val="Hipercze"/>
                <w:rFonts w:asciiTheme="minorHAnsi" w:hAnsiTheme="minorHAnsi"/>
                <w:noProof/>
                <w:sz w:val="22"/>
                <w:szCs w:val="22"/>
              </w:rPr>
              <w:t>Rozdział 2</w:t>
            </w:r>
            <w:r w:rsidR="00C66C3E">
              <w:rPr>
                <w:rStyle w:val="Hipercze"/>
                <w:rFonts w:asciiTheme="minorHAnsi" w:hAnsiTheme="minorHAnsi"/>
                <w:noProof/>
                <w:sz w:val="22"/>
                <w:szCs w:val="22"/>
              </w:rPr>
              <w:t>3</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Załączniki.</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6E6DBC">
              <w:rPr>
                <w:rFonts w:asciiTheme="minorHAnsi" w:hAnsiTheme="minorHAnsi"/>
                <w:noProof/>
                <w:webHidden/>
                <w:sz w:val="22"/>
                <w:szCs w:val="22"/>
              </w:rPr>
              <w:t>16</w:t>
            </w:r>
            <w:r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4DCB9FCC" w14:textId="10E7DBF1" w:rsidR="007B0410" w:rsidRPr="00B21742" w:rsidRDefault="000B24B4" w:rsidP="00CB5DF6">
      <w:pPr>
        <w:spacing w:line="240" w:lineRule="exact"/>
        <w:rPr>
          <w:rFonts w:asciiTheme="minorHAnsi" w:hAnsiTheme="minorHAnsi" w:cstheme="minorHAnsi"/>
          <w:color w:val="FF0000"/>
          <w:sz w:val="22"/>
          <w:szCs w:val="22"/>
        </w:rPr>
      </w:pPr>
      <w:hyperlink r:id="rId9" w:history="1">
        <w:r w:rsidRPr="000B24B4">
          <w:rPr>
            <w:rStyle w:val="Hipercze"/>
          </w:rPr>
          <w:t>https://platformazakupowa.pl/transakcja/1123523</w:t>
        </w:r>
      </w:hyperlink>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2C19ACF8"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 trybie </w:t>
      </w:r>
      <w:r w:rsidR="00752B83" w:rsidRPr="00CB5DF6">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C048E6">
        <w:rPr>
          <w:rFonts w:asciiTheme="minorHAnsi" w:hAnsiTheme="minorHAnsi" w:cstheme="minorHAnsi"/>
          <w:sz w:val="22"/>
          <w:szCs w:val="22"/>
        </w:rPr>
        <w:t xml:space="preserve">art. </w:t>
      </w:r>
      <w:r w:rsidR="00752B83" w:rsidRPr="00C048E6">
        <w:rPr>
          <w:rFonts w:asciiTheme="minorHAnsi" w:hAnsiTheme="minorHAnsi" w:cstheme="minorHAnsi"/>
          <w:sz w:val="22"/>
          <w:szCs w:val="22"/>
        </w:rPr>
        <w:t xml:space="preserve">275 pkt </w:t>
      </w:r>
      <w:r w:rsidR="00C66C3E" w:rsidRPr="00C048E6">
        <w:rPr>
          <w:rFonts w:asciiTheme="minorHAnsi" w:hAnsiTheme="minorHAnsi" w:cstheme="minorHAnsi"/>
          <w:sz w:val="22"/>
          <w:szCs w:val="22"/>
        </w:rPr>
        <w:t>1</w:t>
      </w:r>
      <w:r w:rsidRPr="00CB5DF6">
        <w:rPr>
          <w:rFonts w:asciiTheme="minorHAnsi" w:hAnsiTheme="minorHAnsi" w:cstheme="minorHAnsi"/>
          <w:sz w:val="22"/>
          <w:szCs w:val="22"/>
        </w:rPr>
        <w:t xml:space="preserve"> </w:t>
      </w:r>
      <w:bookmarkStart w:id="2" w:name="_Hlk96245847"/>
      <w:r w:rsidRPr="00CB5DF6">
        <w:rPr>
          <w:rFonts w:asciiTheme="minorHAnsi" w:hAnsiTheme="minorHAnsi" w:cstheme="minorHAnsi"/>
          <w:sz w:val="22"/>
          <w:szCs w:val="22"/>
        </w:rPr>
        <w:t xml:space="preserve">ustawy z dnia 11 września 2019 r. - Prawo zamówień publicznych </w:t>
      </w:r>
      <w:bookmarkStart w:id="3" w:name="_Hlk96246533"/>
      <w:r w:rsidRPr="00CB5DF6">
        <w:rPr>
          <w:rFonts w:asciiTheme="minorHAnsi" w:hAnsiTheme="minorHAnsi" w:cstheme="minorHAnsi"/>
          <w:sz w:val="22"/>
          <w:szCs w:val="22"/>
        </w:rPr>
        <w:t>(Dz. U. z 202</w:t>
      </w:r>
      <w:r w:rsidR="006E6DBC">
        <w:rPr>
          <w:rFonts w:asciiTheme="minorHAnsi" w:hAnsiTheme="minorHAnsi" w:cstheme="minorHAnsi"/>
          <w:sz w:val="22"/>
          <w:szCs w:val="22"/>
        </w:rPr>
        <w:t>4</w:t>
      </w:r>
      <w:r w:rsidRPr="00CB5DF6">
        <w:rPr>
          <w:rFonts w:asciiTheme="minorHAnsi" w:hAnsiTheme="minorHAnsi" w:cstheme="minorHAnsi"/>
          <w:sz w:val="22"/>
          <w:szCs w:val="22"/>
        </w:rPr>
        <w:t xml:space="preserve">, poz. </w:t>
      </w:r>
      <w:r w:rsidR="006E6DBC">
        <w:rPr>
          <w:rFonts w:asciiTheme="minorHAnsi" w:hAnsiTheme="minorHAnsi" w:cstheme="minorHAnsi"/>
          <w:sz w:val="22"/>
          <w:szCs w:val="22"/>
        </w:rPr>
        <w:t>1320</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6C52D5AF" w:rsidR="004B5EF9" w:rsidRPr="00C048E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w:t>
      </w:r>
      <w:r w:rsidRPr="00C048E6">
        <w:rPr>
          <w:rFonts w:asciiTheme="minorHAnsi" w:hAnsiTheme="minorHAnsi" w:cstheme="minorHAnsi"/>
          <w:sz w:val="22"/>
          <w:szCs w:val="22"/>
        </w:rPr>
        <w:t xml:space="preserve">oferty </w:t>
      </w:r>
      <w:r w:rsidR="00252229" w:rsidRPr="00C048E6">
        <w:rPr>
          <w:rFonts w:asciiTheme="minorHAnsi" w:hAnsiTheme="minorHAnsi" w:cstheme="minorHAnsi"/>
          <w:sz w:val="22"/>
          <w:szCs w:val="22"/>
        </w:rPr>
        <w:t>bez</w:t>
      </w:r>
      <w:r w:rsidRPr="00C048E6">
        <w:rPr>
          <w:rFonts w:asciiTheme="minorHAnsi" w:hAnsiTheme="minorHAnsi" w:cstheme="minorHAnsi"/>
          <w:sz w:val="22"/>
          <w:szCs w:val="22"/>
        </w:rPr>
        <w:t xml:space="preserve"> 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595CE676"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nie wymaga zatrudnienia na podstawie stosunku pracy, w </w:t>
      </w:r>
      <w:r w:rsidR="00A67B83" w:rsidRPr="00CB5DF6">
        <w:rPr>
          <w:rFonts w:asciiTheme="minorHAnsi" w:hAnsiTheme="minorHAnsi" w:cstheme="minorHAnsi"/>
          <w:sz w:val="22"/>
          <w:szCs w:val="22"/>
        </w:rPr>
        <w:t xml:space="preserve">okolicznościach, </w:t>
      </w:r>
      <w:r w:rsidR="00A67B83">
        <w:rPr>
          <w:rFonts w:asciiTheme="minorHAnsi" w:hAnsiTheme="minorHAnsi" w:cstheme="minorHAnsi"/>
          <w:sz w:val="22"/>
          <w:szCs w:val="22"/>
        </w:rPr>
        <w:t xml:space="preserve"> </w:t>
      </w:r>
      <w:r w:rsidR="007B2B63">
        <w:rPr>
          <w:rFonts w:asciiTheme="minorHAnsi" w:hAnsiTheme="minorHAnsi" w:cstheme="minorHAnsi"/>
          <w:sz w:val="22"/>
          <w:szCs w:val="22"/>
        </w:rPr>
        <w:t xml:space="preserve">                 </w:t>
      </w:r>
      <w:r w:rsidRPr="00CB5DF6">
        <w:rPr>
          <w:rFonts w:asciiTheme="minorHAnsi" w:hAnsiTheme="minorHAnsi" w:cstheme="minorHAnsi"/>
          <w:sz w:val="22"/>
          <w:szCs w:val="22"/>
        </w:rPr>
        <w:t>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46080C06" w14:textId="77777777" w:rsidR="001E3C7D" w:rsidRPr="00CB5DF6" w:rsidRDefault="008A40C4" w:rsidP="008C0F99">
      <w:pPr>
        <w:pStyle w:val="Tekstpodstawowy3"/>
        <w:numPr>
          <w:ilvl w:val="0"/>
          <w:numId w:val="49"/>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Wspólny Słownik Zamówień (CPV):</w:t>
      </w:r>
      <w:r w:rsidR="001E3C7D" w:rsidRPr="00CB5DF6">
        <w:rPr>
          <w:rFonts w:asciiTheme="minorHAnsi" w:hAnsiTheme="minorHAnsi" w:cstheme="minorHAnsi"/>
          <w:sz w:val="22"/>
          <w:szCs w:val="22"/>
        </w:rPr>
        <w:tab/>
      </w:r>
    </w:p>
    <w:p w14:paraId="37FD126D" w14:textId="1D792D20" w:rsidR="00B00B89" w:rsidRPr="00F75849" w:rsidRDefault="00D906B9" w:rsidP="00D906B9">
      <w:pPr>
        <w:pStyle w:val="Tekstpodstawowy3"/>
        <w:spacing w:line="240" w:lineRule="exact"/>
        <w:ind w:left="357"/>
        <w:jc w:val="both"/>
        <w:rPr>
          <w:rFonts w:ascii="Calibri" w:hAnsi="Calibri" w:cs="Calibri"/>
          <w:sz w:val="22"/>
          <w:szCs w:val="22"/>
        </w:rPr>
      </w:pPr>
      <w:bookmarkStart w:id="5" w:name="_Hlk183422919"/>
      <w:r w:rsidRPr="00D906B9">
        <w:rPr>
          <w:rFonts w:ascii="Calibri" w:hAnsi="Calibri" w:cs="Calibri"/>
          <w:sz w:val="22"/>
          <w:szCs w:val="22"/>
        </w:rPr>
        <w:t>03222321-9</w:t>
      </w:r>
      <w:r w:rsidRPr="00D906B9">
        <w:rPr>
          <w:rFonts w:ascii="Calibri" w:hAnsi="Calibri" w:cs="Calibri"/>
          <w:sz w:val="22"/>
          <w:szCs w:val="22"/>
        </w:rPr>
        <w:tab/>
        <w:t>Jabłka</w:t>
      </w:r>
    </w:p>
    <w:p w14:paraId="689741B4" w14:textId="77777777" w:rsidR="003F22FA" w:rsidRPr="00D906B9" w:rsidRDefault="003F22FA" w:rsidP="003F22FA">
      <w:pPr>
        <w:pStyle w:val="Tekstpodstawowy3"/>
        <w:spacing w:line="240" w:lineRule="exact"/>
        <w:ind w:left="357"/>
        <w:jc w:val="both"/>
        <w:rPr>
          <w:rFonts w:ascii="Calibri" w:hAnsi="Calibri" w:cs="Calibri"/>
          <w:sz w:val="22"/>
          <w:szCs w:val="22"/>
        </w:rPr>
      </w:pPr>
      <w:r w:rsidRPr="00D906B9">
        <w:rPr>
          <w:rFonts w:ascii="Calibri" w:hAnsi="Calibri" w:cs="Calibri"/>
          <w:sz w:val="22"/>
          <w:szCs w:val="22"/>
        </w:rPr>
        <w:t>03212100-1</w:t>
      </w:r>
      <w:r w:rsidRPr="00D906B9">
        <w:rPr>
          <w:rFonts w:ascii="Calibri" w:hAnsi="Calibri" w:cs="Calibri"/>
          <w:sz w:val="22"/>
          <w:szCs w:val="22"/>
        </w:rPr>
        <w:tab/>
        <w:t>Ziemniaki</w:t>
      </w:r>
    </w:p>
    <w:p w14:paraId="53FE9319" w14:textId="450114F3" w:rsidR="00DB3768" w:rsidRDefault="003F22FA" w:rsidP="00DB3768">
      <w:pPr>
        <w:pStyle w:val="Akapitzlist"/>
        <w:spacing w:after="0" w:line="240" w:lineRule="exact"/>
        <w:ind w:left="357"/>
        <w:rPr>
          <w:rFonts w:cs="Calibri"/>
        </w:rPr>
      </w:pPr>
      <w:r w:rsidRPr="00D906B9">
        <w:rPr>
          <w:rFonts w:cs="Calibri"/>
        </w:rPr>
        <w:t>03221000-6</w:t>
      </w:r>
      <w:r w:rsidRPr="00D906B9">
        <w:rPr>
          <w:rFonts w:cs="Calibri"/>
        </w:rPr>
        <w:tab/>
        <w:t>Warzywa</w:t>
      </w:r>
    </w:p>
    <w:bookmarkEnd w:id="5"/>
    <w:p w14:paraId="558D8E7C" w14:textId="77777777" w:rsidR="003F22FA" w:rsidRPr="00DB3768" w:rsidRDefault="003F22FA" w:rsidP="00DB3768">
      <w:pPr>
        <w:pStyle w:val="Akapitzlist"/>
        <w:spacing w:after="0" w:line="240" w:lineRule="exact"/>
        <w:ind w:left="357"/>
        <w:rPr>
          <w:rFonts w:asciiTheme="minorHAnsi" w:hAnsiTheme="minorHAnsi" w:cstheme="minorHAnsi"/>
          <w:b/>
          <w:bCs/>
        </w:rPr>
      </w:pPr>
    </w:p>
    <w:p w14:paraId="1045C37E" w14:textId="346B4CB2" w:rsidR="00A92A47" w:rsidRPr="00B21742" w:rsidRDefault="00A92A47" w:rsidP="00B21742">
      <w:pPr>
        <w:pStyle w:val="Tekstpodstawowy3"/>
        <w:numPr>
          <w:ilvl w:val="0"/>
          <w:numId w:val="49"/>
        </w:numPr>
        <w:spacing w:line="240" w:lineRule="exact"/>
        <w:ind w:left="357" w:hanging="357"/>
        <w:jc w:val="both"/>
        <w:rPr>
          <w:rFonts w:ascii="Calibri" w:hAnsi="Calibri" w:cs="Calibri"/>
          <w:b/>
          <w:bCs/>
          <w:sz w:val="22"/>
          <w:szCs w:val="22"/>
        </w:rPr>
      </w:pPr>
      <w:r w:rsidRPr="003A4814">
        <w:rPr>
          <w:rFonts w:ascii="Calibri" w:hAnsi="Calibri" w:cs="Calibri"/>
          <w:color w:val="000000"/>
          <w:sz w:val="22"/>
          <w:szCs w:val="22"/>
        </w:rPr>
        <w:t>Przedmiotem zamówienia są</w:t>
      </w:r>
      <w:r w:rsidRPr="003A4814">
        <w:rPr>
          <w:rFonts w:ascii="Calibri" w:hAnsi="Calibri" w:cs="Calibri"/>
          <w:b/>
          <w:bCs/>
          <w:sz w:val="22"/>
          <w:szCs w:val="22"/>
        </w:rPr>
        <w:t xml:space="preserve"> </w:t>
      </w:r>
      <w:r w:rsidRPr="00910ACB">
        <w:rPr>
          <w:rFonts w:ascii="Calibri" w:hAnsi="Calibri" w:cs="Calibri"/>
          <w:b/>
          <w:bCs/>
          <w:sz w:val="22"/>
          <w:szCs w:val="22"/>
        </w:rPr>
        <w:t xml:space="preserve">dostawy </w:t>
      </w:r>
      <w:r w:rsidR="00CD5E25">
        <w:rPr>
          <w:rFonts w:ascii="Calibri" w:hAnsi="Calibri" w:cs="Calibri"/>
          <w:b/>
          <w:bCs/>
          <w:sz w:val="22"/>
          <w:szCs w:val="22"/>
        </w:rPr>
        <w:t>jabłek, ziemniaków, warzyw do</w:t>
      </w:r>
      <w:r w:rsidR="00CD5E25" w:rsidRPr="00CD5E25">
        <w:rPr>
          <w:rFonts w:ascii="Calibri" w:hAnsi="Calibri" w:cs="Calibri"/>
          <w:b/>
          <w:bCs/>
          <w:sz w:val="22"/>
          <w:szCs w:val="22"/>
        </w:rPr>
        <w:t xml:space="preserve"> Aresztu Ś</w:t>
      </w:r>
      <w:r w:rsidR="00CD5E25">
        <w:rPr>
          <w:rFonts w:ascii="Calibri" w:hAnsi="Calibri" w:cs="Calibri"/>
          <w:b/>
          <w:bCs/>
          <w:sz w:val="22"/>
          <w:szCs w:val="22"/>
        </w:rPr>
        <w:t>ledczego</w:t>
      </w:r>
      <w:r w:rsidR="00B21742">
        <w:rPr>
          <w:rFonts w:ascii="Calibri" w:hAnsi="Calibri" w:cs="Calibri"/>
          <w:b/>
          <w:bCs/>
          <w:sz w:val="22"/>
          <w:szCs w:val="22"/>
        </w:rPr>
        <w:t xml:space="preserve">             </w:t>
      </w:r>
      <w:r w:rsidR="00CD5E25">
        <w:rPr>
          <w:rFonts w:ascii="Calibri" w:hAnsi="Calibri" w:cs="Calibri"/>
          <w:b/>
          <w:bCs/>
          <w:sz w:val="22"/>
          <w:szCs w:val="22"/>
        </w:rPr>
        <w:t xml:space="preserve"> w Warszawie-Grochowie</w:t>
      </w:r>
      <w:r w:rsidR="00A72AED" w:rsidRPr="00B21742">
        <w:rPr>
          <w:rFonts w:ascii="Calibri" w:hAnsi="Calibri" w:cs="Calibri"/>
          <w:b/>
          <w:bCs/>
          <w:sz w:val="22"/>
          <w:szCs w:val="22"/>
        </w:rPr>
        <w:t>.</w:t>
      </w:r>
    </w:p>
    <w:p w14:paraId="12C209AA" w14:textId="77777777" w:rsidR="00AE6416" w:rsidRPr="00CB5DF6" w:rsidRDefault="00AE6416" w:rsidP="00B32253">
      <w:pPr>
        <w:pStyle w:val="Akapitzlist"/>
        <w:spacing w:after="0" w:line="240" w:lineRule="exact"/>
        <w:ind w:left="357"/>
        <w:rPr>
          <w:rFonts w:asciiTheme="minorHAnsi" w:hAnsiTheme="minorHAnsi" w:cstheme="minorHAnsi"/>
          <w:b/>
          <w:bCs/>
        </w:rPr>
      </w:pPr>
    </w:p>
    <w:p w14:paraId="4397F220" w14:textId="6A78A6E5" w:rsidR="00B32253" w:rsidRPr="00982EE2" w:rsidRDefault="00B32253" w:rsidP="008C0F99">
      <w:pPr>
        <w:pStyle w:val="Akapitzlist"/>
        <w:numPr>
          <w:ilvl w:val="0"/>
          <w:numId w:val="49"/>
        </w:numPr>
        <w:spacing w:line="240" w:lineRule="exact"/>
        <w:ind w:left="357" w:hanging="357"/>
        <w:rPr>
          <w:rFonts w:asciiTheme="minorHAnsi" w:hAnsiTheme="minorHAnsi" w:cstheme="minorHAnsi"/>
          <w:b/>
          <w:bCs/>
          <w:color w:val="FF0000"/>
        </w:rPr>
      </w:pPr>
      <w:r w:rsidRPr="00B32253">
        <w:rPr>
          <w:rFonts w:cs="Calibri"/>
          <w:b/>
          <w:bCs/>
        </w:rPr>
        <w:t>Szczegółowy opis oraz wykaz ilościowy przedmiotu zamówienia</w:t>
      </w:r>
      <w:r w:rsidRPr="00B32253">
        <w:rPr>
          <w:rFonts w:cs="Calibri"/>
        </w:rPr>
        <w:t xml:space="preserve"> został określony </w:t>
      </w:r>
      <w:r w:rsidRPr="00B32253">
        <w:rPr>
          <w:rFonts w:cs="Calibri"/>
          <w:bCs/>
        </w:rPr>
        <w:t>w</w:t>
      </w:r>
      <w:r w:rsidRPr="00B32253">
        <w:rPr>
          <w:rFonts w:cs="Calibri"/>
          <w:b/>
          <w:bCs/>
        </w:rPr>
        <w:t xml:space="preserve"> projekcie </w:t>
      </w:r>
      <w:r w:rsidRPr="00623859">
        <w:rPr>
          <w:rFonts w:cs="Calibri"/>
          <w:b/>
          <w:bCs/>
        </w:rPr>
        <w:t xml:space="preserve">umowy </w:t>
      </w:r>
      <w:r w:rsidR="00623859" w:rsidRPr="00623859">
        <w:rPr>
          <w:rFonts w:cs="Calibri"/>
          <w:b/>
          <w:bCs/>
        </w:rPr>
        <w:t xml:space="preserve">(Załącznik nr </w:t>
      </w:r>
      <w:r w:rsidR="004E55AF">
        <w:rPr>
          <w:rFonts w:cs="Calibri"/>
          <w:b/>
          <w:bCs/>
        </w:rPr>
        <w:t>3</w:t>
      </w:r>
      <w:r w:rsidRPr="00623859">
        <w:rPr>
          <w:rFonts w:cs="Calibri"/>
          <w:b/>
          <w:bCs/>
        </w:rPr>
        <w:t xml:space="preserve"> do SWZ).</w:t>
      </w:r>
    </w:p>
    <w:p w14:paraId="37309635" w14:textId="77777777" w:rsidR="00B32253" w:rsidRPr="00CB5DF6"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6"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6"/>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247F2EA1" w14:textId="7A675C9C" w:rsidR="00AD1FDE" w:rsidRPr="00CB5DF6" w:rsidRDefault="00AD1FDE" w:rsidP="008C0F99">
      <w:pPr>
        <w:numPr>
          <w:ilvl w:val="0"/>
          <w:numId w:val="37"/>
        </w:numPr>
        <w:tabs>
          <w:tab w:val="left" w:pos="0"/>
        </w:tabs>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dopuszcza</w:t>
      </w:r>
      <w:r w:rsidR="00C9658B">
        <w:rPr>
          <w:rFonts w:asciiTheme="minorHAnsi" w:hAnsiTheme="minorHAnsi" w:cstheme="minorHAnsi"/>
          <w:sz w:val="22"/>
          <w:szCs w:val="22"/>
        </w:rPr>
        <w:t xml:space="preserve"> możliwość</w:t>
      </w:r>
      <w:r w:rsidRPr="00CB5DF6">
        <w:rPr>
          <w:rFonts w:asciiTheme="minorHAnsi" w:hAnsiTheme="minorHAnsi" w:cstheme="minorHAnsi"/>
          <w:sz w:val="22"/>
          <w:szCs w:val="22"/>
        </w:rPr>
        <w:t xml:space="preserve"> składania ofert częściowych:</w:t>
      </w:r>
    </w:p>
    <w:p w14:paraId="6320527D" w14:textId="4BC16EC5" w:rsidR="002B1FAE" w:rsidRPr="002B1FAE" w:rsidRDefault="002B1FAE" w:rsidP="00E63084">
      <w:pPr>
        <w:numPr>
          <w:ilvl w:val="0"/>
          <w:numId w:val="38"/>
        </w:numPr>
        <w:tabs>
          <w:tab w:val="left" w:pos="0"/>
        </w:tabs>
        <w:spacing w:line="240" w:lineRule="exact"/>
        <w:jc w:val="both"/>
        <w:rPr>
          <w:rFonts w:asciiTheme="minorHAnsi" w:hAnsiTheme="minorHAnsi" w:cstheme="minorHAnsi"/>
          <w:sz w:val="22"/>
          <w:szCs w:val="22"/>
        </w:rPr>
      </w:pPr>
      <w:r w:rsidRPr="002B1FAE">
        <w:rPr>
          <w:rFonts w:ascii="Calibri" w:hAnsi="Calibri" w:cs="Calibri"/>
          <w:sz w:val="22"/>
          <w:szCs w:val="22"/>
        </w:rPr>
        <w:t xml:space="preserve">Część 1 - jabłka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0649F866" w14:textId="678CD99F" w:rsidR="002B1FAE" w:rsidRPr="002B1FAE" w:rsidRDefault="002B1FAE" w:rsidP="00E63084">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w:t>
      </w:r>
      <w:r w:rsidR="00B21742">
        <w:rPr>
          <w:rFonts w:ascii="Calibri" w:hAnsi="Calibri" w:cs="Calibri"/>
          <w:sz w:val="22"/>
          <w:szCs w:val="22"/>
        </w:rPr>
        <w:t>2</w:t>
      </w:r>
      <w:r w:rsidRPr="002B1FAE">
        <w:rPr>
          <w:rFonts w:ascii="Calibri" w:hAnsi="Calibri" w:cs="Calibri"/>
          <w:sz w:val="22"/>
          <w:szCs w:val="22"/>
        </w:rPr>
        <w:t xml:space="preserve"> - ziemniaki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2E896678" w14:textId="1EB2E8C9" w:rsidR="002B1FAE" w:rsidRPr="002B1FAE" w:rsidRDefault="002B1FAE" w:rsidP="00E63084">
      <w:pPr>
        <w:numPr>
          <w:ilvl w:val="0"/>
          <w:numId w:val="38"/>
        </w:numPr>
        <w:tabs>
          <w:tab w:val="left" w:pos="0"/>
        </w:tabs>
        <w:spacing w:line="240" w:lineRule="exact"/>
        <w:jc w:val="both"/>
        <w:rPr>
          <w:rFonts w:ascii="Calibri" w:hAnsi="Calibri" w:cs="Calibri"/>
          <w:sz w:val="22"/>
          <w:szCs w:val="22"/>
        </w:rPr>
      </w:pPr>
      <w:r w:rsidRPr="002B1FAE">
        <w:rPr>
          <w:rFonts w:ascii="Calibri" w:hAnsi="Calibri" w:cs="Calibri"/>
          <w:sz w:val="22"/>
          <w:szCs w:val="22"/>
        </w:rPr>
        <w:t xml:space="preserve">Część </w:t>
      </w:r>
      <w:r w:rsidR="00B21742">
        <w:rPr>
          <w:rFonts w:ascii="Calibri" w:hAnsi="Calibri" w:cs="Calibri"/>
          <w:sz w:val="22"/>
          <w:szCs w:val="22"/>
        </w:rPr>
        <w:t>3</w:t>
      </w:r>
      <w:r w:rsidRPr="002B1FAE">
        <w:rPr>
          <w:rFonts w:ascii="Calibri" w:hAnsi="Calibri" w:cs="Calibri"/>
          <w:sz w:val="22"/>
          <w:szCs w:val="22"/>
        </w:rPr>
        <w:t xml:space="preserve"> - warzywa dla </w:t>
      </w:r>
      <w:r w:rsidR="00E63084" w:rsidRPr="00E63084">
        <w:rPr>
          <w:rFonts w:ascii="Calibri" w:hAnsi="Calibri" w:cs="Calibri"/>
          <w:sz w:val="22"/>
          <w:szCs w:val="22"/>
        </w:rPr>
        <w:t>Aresztu Śledczego</w:t>
      </w:r>
      <w:r w:rsidRPr="002B1FAE">
        <w:rPr>
          <w:rFonts w:ascii="Calibri" w:hAnsi="Calibri" w:cs="Calibri"/>
          <w:sz w:val="22"/>
          <w:szCs w:val="22"/>
        </w:rPr>
        <w:t xml:space="preserve"> w Warszawie-Grochowie;</w:t>
      </w:r>
    </w:p>
    <w:p w14:paraId="50DCD8E3" w14:textId="77777777" w:rsidR="00AD1FDE"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nie ogranicza</w:t>
      </w:r>
      <w:r w:rsidRPr="00CB5DF6">
        <w:rPr>
          <w:rFonts w:asciiTheme="minorHAnsi" w:hAnsiTheme="minorHAnsi" w:cstheme="minorHAnsi"/>
          <w:sz w:val="22"/>
          <w:szCs w:val="22"/>
        </w:rPr>
        <w:t xml:space="preserve"> liczby części zamówienia, którą można udzielić jednemu wykonawcy.</w:t>
      </w:r>
    </w:p>
    <w:p w14:paraId="2EAB8FFA" w14:textId="43796C68" w:rsidR="00644BB8"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b/>
          <w:sz w:val="22"/>
          <w:szCs w:val="22"/>
        </w:rPr>
        <w:lastRenderedPageBreak/>
        <w:t>Wykonawcy mogą składać oferty na dowolne części.</w:t>
      </w:r>
    </w:p>
    <w:p w14:paraId="1AE2EA02" w14:textId="183D3999"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Wykonawca składając ofertę na daną część</w:t>
      </w:r>
      <w:r w:rsidRPr="00CB5DF6">
        <w:rPr>
          <w:rFonts w:asciiTheme="minorHAnsi" w:hAnsiTheme="minorHAnsi" w:cstheme="minorHAnsi"/>
          <w:sz w:val="22"/>
          <w:szCs w:val="22"/>
        </w:rPr>
        <w:t xml:space="preserve"> zobowiązany jest </w:t>
      </w:r>
      <w:r w:rsidRPr="0045399E">
        <w:rPr>
          <w:rFonts w:asciiTheme="minorHAnsi" w:hAnsiTheme="minorHAnsi" w:cstheme="minorHAnsi"/>
          <w:b/>
          <w:bCs/>
          <w:sz w:val="22"/>
          <w:szCs w:val="22"/>
        </w:rPr>
        <w:t>wycenić wszystkie pozycje</w:t>
      </w:r>
      <w:r w:rsidRPr="00CB5DF6">
        <w:rPr>
          <w:rFonts w:asciiTheme="minorHAnsi" w:hAnsiTheme="minorHAnsi" w:cstheme="minorHAnsi"/>
          <w:sz w:val="22"/>
          <w:szCs w:val="22"/>
        </w:rPr>
        <w:t xml:space="preserve"> wskazane dla tej części.</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7"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7"/>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1F23EE95" w:rsidR="00063DD0" w:rsidRPr="00C048E6" w:rsidRDefault="00063DD0" w:rsidP="008C0F99">
      <w:pPr>
        <w:numPr>
          <w:ilvl w:val="0"/>
          <w:numId w:val="50"/>
        </w:numPr>
        <w:spacing w:line="240" w:lineRule="exact"/>
        <w:ind w:left="357" w:hanging="357"/>
        <w:jc w:val="both"/>
        <w:rPr>
          <w:rFonts w:ascii="Calibri" w:hAnsi="Calibri" w:cs="Calibri"/>
          <w:sz w:val="22"/>
          <w:szCs w:val="22"/>
        </w:rPr>
      </w:pPr>
      <w:r w:rsidRPr="00C048E6">
        <w:rPr>
          <w:rFonts w:ascii="Calibri" w:hAnsi="Calibri" w:cs="Calibri"/>
          <w:b/>
          <w:bCs/>
          <w:sz w:val="22"/>
          <w:szCs w:val="22"/>
        </w:rPr>
        <w:t xml:space="preserve">Termin obowiązywania umowy: </w:t>
      </w:r>
      <w:r w:rsidR="00E65B34" w:rsidRPr="00C048E6">
        <w:rPr>
          <w:rFonts w:ascii="Calibri" w:hAnsi="Calibri" w:cs="Calibri"/>
          <w:b/>
          <w:bCs/>
          <w:sz w:val="22"/>
          <w:szCs w:val="22"/>
        </w:rPr>
        <w:t xml:space="preserve">6 miesięcy, </w:t>
      </w:r>
      <w:r w:rsidR="00E65B34" w:rsidRPr="00C048E6">
        <w:rPr>
          <w:rFonts w:ascii="Calibri" w:hAnsi="Calibri" w:cs="Calibri"/>
          <w:bCs/>
          <w:sz w:val="22"/>
          <w:szCs w:val="22"/>
        </w:rPr>
        <w:t>jednak nie wcześniej niż od dnia</w:t>
      </w:r>
      <w:r w:rsidR="00E65B34" w:rsidRPr="00C048E6">
        <w:rPr>
          <w:rFonts w:ascii="Calibri" w:hAnsi="Calibri" w:cs="Calibri"/>
          <w:b/>
          <w:bCs/>
          <w:sz w:val="22"/>
          <w:szCs w:val="22"/>
        </w:rPr>
        <w:t xml:space="preserve"> </w:t>
      </w:r>
      <w:r w:rsidR="00E65B34" w:rsidRPr="00B21742">
        <w:rPr>
          <w:rFonts w:ascii="Calibri" w:hAnsi="Calibri" w:cs="Calibri"/>
          <w:b/>
          <w:bCs/>
          <w:color w:val="FF0000"/>
          <w:sz w:val="22"/>
          <w:szCs w:val="22"/>
        </w:rPr>
        <w:t>01.0</w:t>
      </w:r>
      <w:r w:rsidR="00B21742" w:rsidRPr="00B21742">
        <w:rPr>
          <w:rFonts w:ascii="Calibri" w:hAnsi="Calibri" w:cs="Calibri"/>
          <w:b/>
          <w:bCs/>
          <w:color w:val="FF0000"/>
          <w:sz w:val="22"/>
          <w:szCs w:val="22"/>
        </w:rPr>
        <w:t>7</w:t>
      </w:r>
      <w:r w:rsidR="00E65B34" w:rsidRPr="00B21742">
        <w:rPr>
          <w:rFonts w:ascii="Calibri" w:hAnsi="Calibri" w:cs="Calibri"/>
          <w:b/>
          <w:bCs/>
          <w:color w:val="FF0000"/>
          <w:sz w:val="22"/>
          <w:szCs w:val="22"/>
        </w:rPr>
        <w:t>.202</w:t>
      </w:r>
      <w:r w:rsidR="006E6DBC" w:rsidRPr="00B21742">
        <w:rPr>
          <w:rFonts w:ascii="Calibri" w:hAnsi="Calibri" w:cs="Calibri"/>
          <w:b/>
          <w:bCs/>
          <w:color w:val="FF0000"/>
          <w:sz w:val="22"/>
          <w:szCs w:val="22"/>
        </w:rPr>
        <w:t>5</w:t>
      </w:r>
      <w:r w:rsidR="00E65B34" w:rsidRPr="00B21742">
        <w:rPr>
          <w:rFonts w:ascii="Calibri" w:hAnsi="Calibri" w:cs="Calibri"/>
          <w:b/>
          <w:bCs/>
          <w:color w:val="FF0000"/>
          <w:sz w:val="22"/>
          <w:szCs w:val="22"/>
        </w:rPr>
        <w:t xml:space="preserve">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05E87F63" w:rsidR="004276BF" w:rsidRPr="00063DD0" w:rsidRDefault="00063DD0" w:rsidP="00960D6E">
      <w:pPr>
        <w:numPr>
          <w:ilvl w:val="0"/>
          <w:numId w:val="50"/>
        </w:numPr>
        <w:spacing w:line="240" w:lineRule="exact"/>
        <w:ind w:left="357" w:hanging="357"/>
        <w:rPr>
          <w:rFonts w:ascii="Calibri" w:hAnsi="Calibri" w:cs="Calibri"/>
          <w:sz w:val="22"/>
          <w:szCs w:val="22"/>
        </w:rPr>
      </w:pPr>
      <w:r w:rsidRPr="009D4CC2">
        <w:rPr>
          <w:rFonts w:ascii="Calibri" w:hAnsi="Calibri" w:cs="Calibri"/>
          <w:b/>
          <w:sz w:val="22"/>
          <w:szCs w:val="22"/>
        </w:rPr>
        <w:t>Termin realizacji dostaw, częstotliwość dostaw</w:t>
      </w:r>
      <w:r w:rsidRPr="00063DD0">
        <w:rPr>
          <w:rFonts w:ascii="Calibri" w:hAnsi="Calibri" w:cs="Calibri"/>
          <w:sz w:val="22"/>
          <w:szCs w:val="22"/>
        </w:rPr>
        <w:t xml:space="preserve"> oraz </w:t>
      </w:r>
      <w:r w:rsidR="00A72AED">
        <w:rPr>
          <w:rFonts w:ascii="Calibri" w:hAnsi="Calibri" w:cs="Calibri"/>
          <w:b/>
          <w:sz w:val="22"/>
          <w:szCs w:val="22"/>
        </w:rPr>
        <w:t>miejsce</w:t>
      </w:r>
      <w:r w:rsidRPr="009D4CC2">
        <w:rPr>
          <w:rFonts w:ascii="Calibri" w:hAnsi="Calibri" w:cs="Calibri"/>
          <w:b/>
          <w:sz w:val="22"/>
          <w:szCs w:val="22"/>
        </w:rPr>
        <w:t xml:space="preserve"> dostaw</w:t>
      </w:r>
      <w:r w:rsidR="00B00063">
        <w:rPr>
          <w:rFonts w:ascii="Calibri" w:hAnsi="Calibri" w:cs="Calibri"/>
          <w:b/>
          <w:sz w:val="22"/>
          <w:szCs w:val="22"/>
        </w:rPr>
        <w:t xml:space="preserve">: </w:t>
      </w:r>
      <w:r w:rsidRPr="00063DD0">
        <w:rPr>
          <w:rFonts w:ascii="Calibri" w:hAnsi="Calibri" w:cs="Calibri"/>
          <w:sz w:val="22"/>
          <w:szCs w:val="22"/>
        </w:rPr>
        <w:t xml:space="preserve">określone w </w:t>
      </w:r>
      <w:r w:rsidRPr="00C3194E">
        <w:rPr>
          <w:rFonts w:ascii="Calibri" w:hAnsi="Calibri" w:cs="Calibri"/>
          <w:b/>
          <w:sz w:val="22"/>
          <w:szCs w:val="22"/>
        </w:rPr>
        <w:t>projekcie umowy</w:t>
      </w:r>
      <w:r w:rsidRPr="00063DD0">
        <w:rPr>
          <w:rFonts w:ascii="Calibri" w:hAnsi="Calibri" w:cs="Calibri"/>
          <w:sz w:val="22"/>
          <w:szCs w:val="22"/>
        </w:rPr>
        <w:t xml:space="preserve"> </w:t>
      </w:r>
      <w:r w:rsidRPr="009D4CC2">
        <w:rPr>
          <w:rFonts w:ascii="Calibri" w:hAnsi="Calibri" w:cs="Calibri"/>
          <w:b/>
          <w:sz w:val="22"/>
          <w:szCs w:val="22"/>
        </w:rPr>
        <w:t xml:space="preserve">(Załączniku nr </w:t>
      </w:r>
      <w:r w:rsidR="004E55AF">
        <w:rPr>
          <w:rFonts w:ascii="Calibri" w:hAnsi="Calibri" w:cs="Calibri"/>
          <w:b/>
          <w:sz w:val="22"/>
          <w:szCs w:val="22"/>
        </w:rPr>
        <w:t>3</w:t>
      </w:r>
      <w:r w:rsidRPr="009D4CC2">
        <w:rPr>
          <w:rFonts w:ascii="Calibri" w:hAnsi="Calibri" w:cs="Calibri"/>
          <w:b/>
          <w:sz w:val="22"/>
          <w:szCs w:val="22"/>
        </w:rPr>
        <w:t xml:space="preserve"> do SWZ)</w:t>
      </w:r>
      <w:r w:rsidRPr="00063DD0">
        <w:rPr>
          <w:rFonts w:ascii="Calibri" w:hAnsi="Calibri" w:cs="Calibr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8"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8"/>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9"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9"/>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77777777"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środkach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10"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10"/>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68AD153C"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t>
      </w:r>
      <w:r w:rsidR="007B2B63">
        <w:rPr>
          <w:rFonts w:asciiTheme="minorHAnsi" w:hAnsiTheme="minorHAnsi" w:cstheme="minorHAnsi"/>
          <w:sz w:val="22"/>
          <w:szCs w:val="22"/>
        </w:rPr>
        <w:t xml:space="preserve">              </w:t>
      </w:r>
      <w:r w:rsidR="005E380B" w:rsidRPr="00CB5DF6">
        <w:rPr>
          <w:rFonts w:asciiTheme="minorHAnsi" w:hAnsiTheme="minorHAnsi" w:cstheme="minorHAnsi"/>
          <w:sz w:val="22"/>
          <w:szCs w:val="22"/>
        </w:rPr>
        <w:t xml:space="preserve">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1316070D"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1" w:name="_Hlk116228242"/>
      <w:r w:rsidR="00C048E6">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1"/>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lastRenderedPageBreak/>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2"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2"/>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35E02BC8"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lastRenderedPageBreak/>
        <w:t xml:space="preserve">jeżeli zamawiający może stwierdzić, na podstawie wiarygodnych przesłanek, że wykonawca zawarł z innymi wykonawcami porozumienie mające na celu zakłócenie konkurencji, w </w:t>
      </w:r>
      <w:r w:rsidR="002B10E4" w:rsidRPr="00CB5DF6">
        <w:rPr>
          <w:rFonts w:asciiTheme="minorHAnsi" w:hAnsiTheme="minorHAnsi" w:cstheme="minorHAnsi"/>
        </w:rPr>
        <w:t>szczególności,</w:t>
      </w:r>
      <w:r w:rsidRPr="00CB5DF6">
        <w:rPr>
          <w:rFonts w:asciiTheme="minorHAnsi" w:hAnsiTheme="minorHAnsi" w:cstheme="minorHAnsi"/>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późn.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24A311D0"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 xml:space="preserve">w </w:t>
      </w:r>
      <w:r w:rsidR="002B10E4" w:rsidRPr="00CB5DF6">
        <w:rPr>
          <w:rFonts w:asciiTheme="minorHAnsi" w:hAnsiTheme="minorHAnsi" w:cstheme="minorHAnsi"/>
        </w:rPr>
        <w:t>stosunku,</w:t>
      </w:r>
      <w:r w:rsidRPr="00CB5DF6">
        <w:rPr>
          <w:rFonts w:asciiTheme="minorHAnsi" w:hAnsiTheme="minorHAnsi" w:cstheme="minorHAns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0D807FC8"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 xml:space="preserve">który w sposób zawiniony poważnie naruszył obowiązki zawodowe, co podważa jego uczciwość, w </w:t>
      </w:r>
      <w:r w:rsidR="002B10E4" w:rsidRPr="00CB5DF6">
        <w:rPr>
          <w:rFonts w:asciiTheme="minorHAnsi" w:hAnsiTheme="minorHAnsi" w:cstheme="minorHAnsi"/>
        </w:rPr>
        <w:t>szczególności,</w:t>
      </w:r>
      <w:r w:rsidRPr="00CB5DF6">
        <w:rPr>
          <w:rFonts w:asciiTheme="minorHAnsi" w:hAnsiTheme="minorHAnsi" w:cstheme="minorHAnsi"/>
        </w:rPr>
        <w:t xml:space="preserve">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3"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3"/>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4" w:name="_Hlk116228287"/>
    </w:p>
    <w:p w14:paraId="4717DABD" w14:textId="77777777" w:rsidR="00501784" w:rsidRPr="008F26E8" w:rsidRDefault="00501784" w:rsidP="000B255F">
      <w:pPr>
        <w:pStyle w:val="Akapitzlist"/>
        <w:spacing w:after="0" w:line="240" w:lineRule="exact"/>
        <w:ind w:left="1071"/>
        <w:rPr>
          <w:rFonts w:cs="Calibri"/>
        </w:rPr>
      </w:pPr>
    </w:p>
    <w:bookmarkEnd w:id="14"/>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1C37F4C3"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 xml:space="preserve">dokumentu elektronicznego podpisanego kwalifikowanym podpisem elektronicznym lub podpisem zaufanym, lub elektronicznym podpisem osobistym, wystawionego przez podmiot uprawniony do wydania dokumentu - w </w:t>
      </w:r>
      <w:r w:rsidR="002B10E4" w:rsidRPr="000900F1">
        <w:rPr>
          <w:rFonts w:asciiTheme="minorHAnsi" w:hAnsiTheme="minorHAnsi" w:cstheme="minorHAnsi"/>
          <w:sz w:val="22"/>
          <w:szCs w:val="22"/>
        </w:rPr>
        <w:t>przypadku,</w:t>
      </w:r>
      <w:r w:rsidRPr="000900F1">
        <w:rPr>
          <w:rFonts w:asciiTheme="minorHAnsi" w:hAnsiTheme="minorHAnsi" w:cstheme="minorHAnsi"/>
          <w:sz w:val="22"/>
          <w:szCs w:val="22"/>
        </w:rPr>
        <w:t xml:space="preserve">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lastRenderedPageBreak/>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5" w:name="_Toc153287018"/>
            <w:r w:rsidRPr="00636B3B">
              <w:rPr>
                <w:rFonts w:asciiTheme="minorHAnsi" w:hAnsiTheme="minorHAnsi"/>
                <w:b/>
                <w:sz w:val="22"/>
                <w:szCs w:val="22"/>
              </w:rPr>
              <w:t>Rozdział 11.</w:t>
            </w:r>
            <w:r w:rsidRPr="00636B3B">
              <w:rPr>
                <w:rFonts w:asciiTheme="minorHAnsi" w:hAnsiTheme="minorHAnsi"/>
                <w:b/>
                <w:sz w:val="22"/>
                <w:szCs w:val="22"/>
              </w:rPr>
              <w:tab/>
              <w:t>Wymagania dotyczące wadium, jeżeli zamawiający przewiduje obowiązek wniesienia wadium.</w:t>
            </w:r>
            <w:bookmarkEnd w:id="15"/>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6"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6"/>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26F327D6"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7F27E1">
        <w:rPr>
          <w:rFonts w:ascii="Calibri" w:eastAsia="Calibri" w:hAnsi="Calibri" w:cs="Calibri"/>
          <w:sz w:val="22"/>
          <w:szCs w:val="22"/>
        </w:rPr>
        <w:t>Marta Kulma-Rechul</w:t>
      </w:r>
      <w:r w:rsidRPr="007C3E37">
        <w:rPr>
          <w:rFonts w:ascii="Calibri" w:eastAsia="Calibri" w:hAnsi="Calibri" w:cs="Calibri"/>
          <w:sz w:val="22"/>
          <w:szCs w:val="22"/>
        </w:rPr>
        <w:t xml:space="preserve">, </w:t>
      </w:r>
    </w:p>
    <w:p w14:paraId="6BEF7C0F" w14:textId="7D966D7E" w:rsidR="00C048E6" w:rsidRPr="00C048E6" w:rsidRDefault="009E6C52" w:rsidP="008C0F99">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związanych z przedmiotem zamówienia:</w:t>
      </w:r>
      <w:r w:rsidR="007C3E37">
        <w:rPr>
          <w:rFonts w:ascii="Calibri" w:eastAsia="Calibri" w:hAnsi="Calibri" w:cs="Calibri"/>
          <w:sz w:val="22"/>
          <w:szCs w:val="22"/>
        </w:rPr>
        <w:t xml:space="preserve"> </w:t>
      </w:r>
      <w:r w:rsidR="007F27E1">
        <w:rPr>
          <w:rFonts w:ascii="Calibri" w:eastAsia="Calibri" w:hAnsi="Calibri" w:cs="Calibri"/>
          <w:sz w:val="22"/>
          <w:szCs w:val="22"/>
        </w:rPr>
        <w:t>Karol Antolak</w:t>
      </w:r>
      <w:r w:rsidRPr="00C048E6">
        <w:rPr>
          <w:rFonts w:ascii="Calibri" w:eastAsia="Calibri" w:hAnsi="Calibri" w:cs="Calibri"/>
          <w:color w:val="000000"/>
          <w:sz w:val="22"/>
          <w:szCs w:val="22"/>
        </w:rPr>
        <w:t>,</w:t>
      </w:r>
      <w:r w:rsidR="00053333" w:rsidRPr="00C048E6">
        <w:rPr>
          <w:rFonts w:ascii="Calibri" w:eastAsia="Calibri" w:hAnsi="Calibri" w:cs="Calibri"/>
          <w:color w:val="000000"/>
          <w:sz w:val="22"/>
          <w:szCs w:val="22"/>
        </w:rPr>
        <w:t xml:space="preserve"> </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33FFF340"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t>We wszelkiej korespondencji związanej z niniejszym postępowaniem zamawiający i wykonawcy posługują się numerem sprawy:</w:t>
      </w:r>
      <w:r w:rsidR="00D956B9">
        <w:rPr>
          <w:rFonts w:ascii="Calibri" w:hAnsi="Calibri" w:cs="Calibri"/>
          <w:b/>
          <w:sz w:val="22"/>
          <w:szCs w:val="22"/>
        </w:rPr>
        <w:t xml:space="preserve"> </w:t>
      </w:r>
      <w:r w:rsidR="00D956B9" w:rsidRPr="00B21742">
        <w:rPr>
          <w:rFonts w:ascii="Calibri" w:hAnsi="Calibri" w:cs="Calibri"/>
          <w:b/>
          <w:color w:val="FF0000"/>
          <w:sz w:val="22"/>
          <w:szCs w:val="22"/>
        </w:rPr>
        <w:t>2232.</w:t>
      </w:r>
      <w:r w:rsidR="002B10E4">
        <w:rPr>
          <w:rFonts w:ascii="Calibri" w:hAnsi="Calibri" w:cs="Calibri"/>
          <w:b/>
          <w:color w:val="FF0000"/>
          <w:sz w:val="22"/>
          <w:szCs w:val="22"/>
        </w:rPr>
        <w:t>4</w:t>
      </w:r>
      <w:r w:rsidRPr="00B21742">
        <w:rPr>
          <w:rFonts w:ascii="Calibri" w:hAnsi="Calibri" w:cs="Calibri"/>
          <w:b/>
          <w:color w:val="FF0000"/>
          <w:sz w:val="22"/>
          <w:szCs w:val="22"/>
        </w:rPr>
        <w:t>.202</w:t>
      </w:r>
      <w:r w:rsidR="002B10E4">
        <w:rPr>
          <w:rFonts w:ascii="Calibri" w:hAnsi="Calibri" w:cs="Calibri"/>
          <w:b/>
          <w:color w:val="FF0000"/>
          <w:sz w:val="22"/>
          <w:szCs w:val="22"/>
        </w:rPr>
        <w:t>5</w:t>
      </w:r>
      <w:r w:rsidRPr="00B21742">
        <w:rPr>
          <w:rFonts w:ascii="Calibri" w:hAnsi="Calibri" w:cs="Calibri"/>
          <w:b/>
          <w:color w:val="FF0000"/>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lastRenderedPageBreak/>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5A46AAF9" w:rsidR="009E6C52" w:rsidRPr="000762A4" w:rsidRDefault="002B10E4"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Wykonawca</w:t>
      </w:r>
      <w:r w:rsidR="009E6C52" w:rsidRPr="000762A4">
        <w:rPr>
          <w:rFonts w:ascii="Calibri" w:hAnsi="Calibri" w:cs="Calibri"/>
          <w:sz w:val="22"/>
          <w:szCs w:val="22"/>
        </w:rPr>
        <w:t xml:space="preserve"> jako podmiot profesjonalny ma obowiązek sprawdzania komunikatów i wiadomości bezpośrednio na </w:t>
      </w:r>
      <w:r w:rsidR="009E6C52" w:rsidRPr="000762A4">
        <w:rPr>
          <w:rFonts w:ascii="Calibri" w:hAnsi="Calibri" w:cs="Calibri"/>
          <w:b/>
          <w:bCs/>
          <w:sz w:val="22"/>
          <w:szCs w:val="22"/>
        </w:rPr>
        <w:t>stronie internetowej prowadzonego postępowania</w:t>
      </w:r>
      <w:r w:rsidR="009E6C52"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stały dostęp do sieci Internet o gwarantowanej przepustowości nie mniejszej niż 512 kb/s,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zainstalowany program Adobe Acrobat Reader lub inny obsługujący format plików .pdf,</w:t>
      </w:r>
    </w:p>
    <w:p w14:paraId="33F681EE" w14:textId="77777777" w:rsidR="009E6C52" w:rsidRPr="000762A4" w:rsidRDefault="009E6C52" w:rsidP="008C0F99">
      <w:pPr>
        <w:numPr>
          <w:ilvl w:val="1"/>
          <w:numId w:val="45"/>
        </w:numPr>
        <w:spacing w:line="240" w:lineRule="exact"/>
        <w:ind w:left="714" w:hanging="357"/>
        <w:rPr>
          <w:rFonts w:ascii="Calibri" w:hAnsi="Calibri" w:cs="Calibri"/>
          <w:sz w:val="22"/>
          <w:szCs w:val="22"/>
        </w:rPr>
      </w:pPr>
      <w:hyperlink r:id="rId12">
        <w:r w:rsidRPr="000762A4">
          <w:rPr>
            <w:rFonts w:ascii="Calibri" w:hAnsi="Calibri" w:cs="Calibri"/>
            <w:b/>
            <w:bCs/>
            <w:color w:val="0070C0"/>
            <w:sz w:val="22"/>
            <w:szCs w:val="22"/>
          </w:rPr>
          <w:t>Platforma zakupowa</w:t>
        </w:r>
      </w:hyperlink>
      <w:r w:rsidRPr="000762A4">
        <w:rPr>
          <w:rFonts w:ascii="Calibri" w:hAnsi="Calibri" w:cs="Calibri"/>
          <w:b/>
          <w:bCs/>
          <w:color w:val="0070C0"/>
          <w:sz w:val="22"/>
          <w:szCs w:val="22"/>
        </w:rPr>
        <w:t xml:space="preserve"> </w:t>
      </w:r>
      <w:r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(hh:mm:ss)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Pr="00CB5DF6"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7"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7"/>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8"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438BB776"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w:t>
      </w:r>
      <w:r w:rsidR="002B10E4" w:rsidRPr="000D08BE">
        <w:rPr>
          <w:rFonts w:ascii="Calibri" w:hAnsi="Calibri" w:cs="Calibri"/>
          <w:sz w:val="22"/>
          <w:szCs w:val="22"/>
        </w:rPr>
        <w:t xml:space="preserve">ubiegających </w:t>
      </w:r>
      <w:r w:rsidR="002B10E4">
        <w:rPr>
          <w:rFonts w:ascii="Calibri" w:hAnsi="Calibri" w:cs="Calibri"/>
          <w:sz w:val="22"/>
          <w:szCs w:val="22"/>
        </w:rPr>
        <w:t>się</w:t>
      </w:r>
      <w:r w:rsidRPr="000D08BE">
        <w:rPr>
          <w:rFonts w:ascii="Calibri" w:hAnsi="Calibri" w:cs="Calibri"/>
          <w:sz w:val="22"/>
          <w:szCs w:val="22"/>
        </w:rPr>
        <w:t xml:space="preserve">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8"/>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692A20">
        <w:rPr>
          <w:rFonts w:asciiTheme="minorHAnsi" w:eastAsia="Calibri" w:hAnsiTheme="minorHAnsi" w:cstheme="minorHAnsi"/>
          <w:b/>
          <w:sz w:val="22"/>
          <w:szCs w:val="22"/>
        </w:rPr>
        <w:t>Załącznika nr 1 do SWZ</w:t>
      </w:r>
      <w:r w:rsidRPr="00A75AC6">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0900F1">
        <w:rPr>
          <w:rFonts w:asciiTheme="minorHAnsi" w:eastAsia="Calibri" w:hAnsiTheme="minorHAnsi" w:cstheme="minorHAnsi"/>
          <w:b/>
          <w:sz w:val="22"/>
          <w:szCs w:val="22"/>
        </w:rPr>
        <w:t>o</w:t>
      </w:r>
      <w:r>
        <w:rPr>
          <w:rFonts w:asciiTheme="minorHAnsi" w:hAnsiTheme="minorHAnsi" w:cstheme="minorHAnsi"/>
          <w:b/>
          <w:color w:val="000000"/>
          <w:sz w:val="22"/>
          <w:szCs w:val="22"/>
        </w:rPr>
        <w:t>świadczenie wykonawcy/</w:t>
      </w:r>
      <w:r w:rsidRPr="003967FF">
        <w:rPr>
          <w:rFonts w:asciiTheme="minorHAnsi" w:eastAsia="Calibri" w:hAnsiTheme="minorHAnsi" w:cstheme="minorHAnsi"/>
          <w:b/>
          <w:bCs/>
          <w:sz w:val="22"/>
          <w:szCs w:val="22"/>
        </w:rPr>
        <w:t xml:space="preserve">wykonawcy wspólnie ubiegających się o udzielenie zamówienia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692A20">
        <w:rPr>
          <w:rFonts w:asciiTheme="minorHAnsi" w:eastAsia="Calibri" w:hAnsiTheme="minorHAnsi" w:cstheme="minorHAnsi"/>
          <w:b/>
          <w:sz w:val="22"/>
          <w:szCs w:val="22"/>
        </w:rPr>
        <w:t>Z</w:t>
      </w:r>
      <w:r w:rsidR="007A5C7C" w:rsidRPr="00692A20">
        <w:rPr>
          <w:rFonts w:asciiTheme="minorHAnsi" w:eastAsia="Calibri" w:hAnsiTheme="minorHAnsi" w:cstheme="minorHAnsi"/>
          <w:b/>
          <w:sz w:val="22"/>
          <w:szCs w:val="22"/>
        </w:rPr>
        <w:t>ałącznik</w:t>
      </w:r>
      <w:r w:rsidR="00477CCF" w:rsidRPr="00692A20">
        <w:rPr>
          <w:rFonts w:asciiTheme="minorHAnsi" w:eastAsia="Calibri" w:hAnsiTheme="minorHAnsi" w:cstheme="minorHAnsi"/>
          <w:b/>
          <w:sz w:val="22"/>
          <w:szCs w:val="22"/>
        </w:rPr>
        <w:t>a</w:t>
      </w:r>
      <w:r w:rsidR="007A5C7C" w:rsidRPr="00692A20">
        <w:rPr>
          <w:rFonts w:asciiTheme="minorHAnsi" w:eastAsia="Calibri" w:hAnsiTheme="minorHAnsi" w:cstheme="minorHAnsi"/>
          <w:b/>
          <w:sz w:val="22"/>
          <w:szCs w:val="22"/>
        </w:rPr>
        <w:t xml:space="preserve"> nr </w:t>
      </w:r>
      <w:r w:rsidR="00793EC3" w:rsidRPr="00692A20">
        <w:rPr>
          <w:rFonts w:asciiTheme="minorHAnsi" w:eastAsia="Calibri" w:hAnsiTheme="minorHAnsi" w:cstheme="minorHAnsi"/>
          <w:b/>
          <w:sz w:val="22"/>
          <w:szCs w:val="22"/>
        </w:rPr>
        <w:t>2</w:t>
      </w:r>
      <w:r w:rsidR="007A5C7C" w:rsidRPr="00692A20">
        <w:rPr>
          <w:rFonts w:asciiTheme="minorHAnsi" w:eastAsia="Calibri" w:hAnsiTheme="minorHAnsi" w:cstheme="minorHAnsi"/>
          <w:b/>
          <w:sz w:val="22"/>
          <w:szCs w:val="22"/>
        </w:rPr>
        <w:t xml:space="preserve"> do SWZ</w:t>
      </w:r>
      <w:r w:rsidR="00DF5E84" w:rsidRPr="00CB5DF6">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2FD46165"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t>Pełnomocnictwo do złożenia oferty</w:t>
      </w:r>
      <w:r w:rsidR="00AE1F72">
        <w:rPr>
          <w:rFonts w:asciiTheme="minorHAnsi" w:hAnsiTheme="minorHAnsi" w:cstheme="minorHAnsi"/>
          <w:lang w:eastAsia="pl-PL"/>
        </w:rPr>
        <w:t xml:space="preserve"> składane </w:t>
      </w:r>
      <w:r w:rsidR="00A67B83">
        <w:rPr>
          <w:rFonts w:asciiTheme="minorHAnsi" w:hAnsiTheme="minorHAnsi" w:cstheme="minorHAnsi"/>
          <w:lang w:eastAsia="pl-PL"/>
        </w:rPr>
        <w:t>jest,</w:t>
      </w:r>
      <w:r w:rsidR="00AE1F72">
        <w:rPr>
          <w:rFonts w:asciiTheme="minorHAnsi" w:hAnsiTheme="minorHAnsi" w:cstheme="minorHAnsi"/>
          <w:lang w:eastAsia="pl-PL"/>
        </w:rPr>
        <w:t xml:space="preserve"> gdy </w:t>
      </w:r>
      <w:r w:rsidR="00AE1F72" w:rsidRPr="000762A4">
        <w:rPr>
          <w:rFonts w:cs="Calibri"/>
        </w:rPr>
        <w:t>w imieniu wykonawcy działa osoba, której umocowanie do jego reprezentowania nie wynika z dokumentów rejestrowych (KRS, CEiDG lub innego właściwego rejestru)</w:t>
      </w:r>
      <w:r w:rsidR="00AE1F72">
        <w:rPr>
          <w:rFonts w:cs="Calibri"/>
        </w:rPr>
        <w:t>. P</w:t>
      </w:r>
      <w:r w:rsidR="00AE1F72" w:rsidRPr="000762A4">
        <w:rPr>
          <w:rFonts w:cs="Calibri"/>
        </w:rPr>
        <w:t>ełnomocnictwo</w:t>
      </w:r>
      <w:r w:rsidR="00AE1F72">
        <w:rPr>
          <w:rFonts w:cs="Calibri"/>
        </w:rPr>
        <w:t>:</w:t>
      </w:r>
    </w:p>
    <w:p w14:paraId="49A5DF22" w14:textId="3759701D"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w:t>
      </w:r>
      <w:r w:rsidR="002B10E4" w:rsidRPr="00AE1F72">
        <w:rPr>
          <w:rFonts w:asciiTheme="minorHAnsi" w:hAnsiTheme="minorHAnsi" w:cstheme="minorHAnsi"/>
        </w:rPr>
        <w:t>tj.</w:t>
      </w:r>
      <w:r w:rsidRPr="00AE1F72">
        <w:rPr>
          <w:rFonts w:asciiTheme="minorHAnsi" w:hAnsiTheme="minorHAnsi" w:cstheme="minorHAnsi"/>
        </w:rPr>
        <w:t xml:space="preserve">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lastRenderedPageBreak/>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.doc</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.docx, .rtf, .odt,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.xlsx, </w:t>
      </w:r>
      <w:r w:rsidRPr="00CB5DF6">
        <w:rPr>
          <w:rFonts w:asciiTheme="minorHAnsi" w:eastAsia="Calibri" w:hAnsiTheme="minorHAnsi" w:cstheme="minorHAnsi"/>
          <w:b/>
          <w:bCs/>
          <w:sz w:val="22"/>
          <w:szCs w:val="22"/>
        </w:rPr>
        <w:t>.jpg (.jpeg)</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.bmp .numbers .pages.</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Zamawiający dopuszcza składanie ofert w formacie: rar.</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PAdES</w:t>
      </w:r>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zaleca się opatrzyć podpisem w formacie XAdES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9"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9"/>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20" w:name="_Toc153287021"/>
            <w:r w:rsidRPr="00636B3B">
              <w:rPr>
                <w:rFonts w:asciiTheme="minorHAnsi" w:hAnsiTheme="minorHAnsi"/>
                <w:b/>
                <w:sz w:val="22"/>
                <w:szCs w:val="22"/>
              </w:rPr>
              <w:lastRenderedPageBreak/>
              <w:t>Rozdział 14.</w:t>
            </w:r>
            <w:r w:rsidRPr="00636B3B">
              <w:rPr>
                <w:rFonts w:asciiTheme="minorHAnsi" w:hAnsiTheme="minorHAnsi"/>
                <w:b/>
                <w:sz w:val="22"/>
                <w:szCs w:val="22"/>
              </w:rPr>
              <w:tab/>
              <w:t>Sposób obliczenia ceny.</w:t>
            </w:r>
            <w:bookmarkEnd w:id="20"/>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6D9A40F0" w:rsidR="0085348D" w:rsidRPr="00071A8A" w:rsidRDefault="0085348D" w:rsidP="0085348D">
      <w:pPr>
        <w:numPr>
          <w:ilvl w:val="0"/>
          <w:numId w:val="6"/>
        </w:numPr>
        <w:spacing w:line="240" w:lineRule="exact"/>
        <w:ind w:left="357" w:hanging="357"/>
        <w:jc w:val="both"/>
        <w:rPr>
          <w:rFonts w:ascii="Calibri" w:hAnsi="Calibri" w:cs="Calibri"/>
          <w:b/>
          <w:sz w:val="22"/>
          <w:szCs w:val="22"/>
        </w:rPr>
      </w:pPr>
      <w:r w:rsidRPr="00071A8A">
        <w:rPr>
          <w:rFonts w:ascii="Calibri" w:hAnsi="Calibri" w:cs="Calibri"/>
          <w:b/>
          <w:sz w:val="22"/>
          <w:szCs w:val="22"/>
        </w:rPr>
        <w:t>Stawkę podatku VAT należy wstawić zgodnie z obowiązującymi przepisami w dniu złożenia oferty</w:t>
      </w:r>
      <w:r w:rsidR="00071A8A">
        <w:rPr>
          <w:rFonts w:ascii="Calibri" w:hAnsi="Calibri" w:cs="Calibri"/>
          <w:b/>
          <w:sz w:val="22"/>
          <w:szCs w:val="22"/>
        </w:rPr>
        <w:t>.</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071A8A">
        <w:rPr>
          <w:rFonts w:ascii="Calibri" w:hAnsi="Calibri" w:cs="Calibri"/>
          <w:sz w:val="22"/>
          <w:szCs w:val="22"/>
        </w:rPr>
        <w:t>Cenę za w</w:t>
      </w:r>
      <w:r w:rsidRPr="003A4814">
        <w:rPr>
          <w:rFonts w:ascii="Calibri" w:hAnsi="Calibri" w:cs="Calibri"/>
          <w:sz w:val="22"/>
          <w:szCs w:val="22"/>
        </w:rPr>
        <w:t xml:space="preserve">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54AF00F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 xml:space="preserve">W przypadku rozbieżności pomiędzy ceną podaną cyfrowo a </w:t>
      </w:r>
      <w:r w:rsidR="00A67B83">
        <w:rPr>
          <w:rFonts w:ascii="Calibri" w:eastAsia="Times New Roman" w:hAnsi="Calibri" w:cs="Calibri"/>
          <w:sz w:val="22"/>
          <w:szCs w:val="22"/>
        </w:rPr>
        <w:t>słownie</w:t>
      </w:r>
      <w:r>
        <w:rPr>
          <w:rFonts w:ascii="Calibri" w:eastAsia="Times New Roman" w:hAnsi="Calibri" w:cs="Calibri"/>
          <w:sz w:val="22"/>
          <w:szCs w:val="22"/>
        </w:rPr>
        <w:t xml:space="preserve"> jako wartość właściwa zostanie przyjęta cena podana cyfrowo.</w:t>
      </w:r>
    </w:p>
    <w:p w14:paraId="3D6EA2EF"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1"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1"/>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C252109" w14:textId="53A2AA4D" w:rsidR="00A60E77" w:rsidRPr="00982B17" w:rsidRDefault="00B440C3" w:rsidP="00793EC3">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C048E6">
        <w:rPr>
          <w:rFonts w:asciiTheme="minorHAnsi" w:eastAsia="Calibri" w:hAnsiTheme="minorHAnsi" w:cstheme="minorHAnsi"/>
          <w:sz w:val="22"/>
          <w:szCs w:val="22"/>
        </w:rPr>
        <w:t xml:space="preserve">dnia </w:t>
      </w:r>
      <w:r w:rsidR="00127D40">
        <w:rPr>
          <w:rFonts w:asciiTheme="minorHAnsi" w:eastAsia="Calibri" w:hAnsiTheme="minorHAnsi" w:cstheme="minorHAnsi"/>
          <w:b/>
          <w:color w:val="FF0000"/>
          <w:sz w:val="22"/>
          <w:szCs w:val="22"/>
        </w:rPr>
        <w:t>16.06</w:t>
      </w:r>
      <w:r w:rsidR="00F66BDF" w:rsidRPr="00B21742">
        <w:rPr>
          <w:rFonts w:asciiTheme="minorHAnsi" w:eastAsia="Calibri" w:hAnsiTheme="minorHAnsi" w:cstheme="minorHAnsi"/>
          <w:b/>
          <w:color w:val="FF0000"/>
          <w:sz w:val="22"/>
          <w:szCs w:val="22"/>
        </w:rPr>
        <w:t>.202</w:t>
      </w:r>
      <w:r w:rsidR="00127D40">
        <w:rPr>
          <w:rFonts w:asciiTheme="minorHAnsi" w:eastAsia="Calibri" w:hAnsiTheme="minorHAnsi" w:cstheme="minorHAnsi"/>
          <w:b/>
          <w:color w:val="FF0000"/>
          <w:sz w:val="22"/>
          <w:szCs w:val="22"/>
        </w:rPr>
        <w:t>5</w:t>
      </w:r>
      <w:r w:rsidR="00FA0815" w:rsidRPr="00B21742">
        <w:rPr>
          <w:rFonts w:asciiTheme="minorHAnsi" w:eastAsia="Calibri" w:hAnsiTheme="minorHAnsi" w:cstheme="minorHAnsi"/>
          <w:b/>
          <w:color w:val="FF0000"/>
          <w:sz w:val="22"/>
          <w:szCs w:val="22"/>
        </w:rPr>
        <w:t xml:space="preserve">r. </w:t>
      </w:r>
      <w:r w:rsidR="00F66BDF" w:rsidRPr="00B21742">
        <w:rPr>
          <w:rFonts w:asciiTheme="minorHAnsi" w:eastAsia="Calibri" w:hAnsiTheme="minorHAnsi" w:cstheme="minorHAnsi"/>
          <w:b/>
          <w:color w:val="FF0000"/>
          <w:sz w:val="22"/>
          <w:szCs w:val="22"/>
        </w:rPr>
        <w:t>do godz.</w:t>
      </w:r>
      <w:r w:rsidR="007C187F" w:rsidRPr="00B21742">
        <w:rPr>
          <w:rFonts w:asciiTheme="minorHAnsi" w:eastAsia="Calibri" w:hAnsiTheme="minorHAnsi" w:cstheme="minorHAnsi"/>
          <w:b/>
          <w:color w:val="FF0000"/>
          <w:sz w:val="22"/>
          <w:szCs w:val="22"/>
        </w:rPr>
        <w:t xml:space="preserve"> </w:t>
      </w:r>
      <w:r w:rsidR="00127D40">
        <w:rPr>
          <w:rFonts w:asciiTheme="minorHAnsi" w:eastAsia="Calibri" w:hAnsiTheme="minorHAnsi" w:cstheme="minorHAnsi"/>
          <w:b/>
          <w:color w:val="FF0000"/>
          <w:sz w:val="22"/>
          <w:szCs w:val="22"/>
        </w:rPr>
        <w:t>11</w:t>
      </w:r>
      <w:r w:rsidR="00F66BDF" w:rsidRPr="00B21742">
        <w:rPr>
          <w:rFonts w:asciiTheme="minorHAnsi" w:eastAsia="Calibri" w:hAnsiTheme="minorHAnsi" w:cstheme="minorHAnsi"/>
          <w:b/>
          <w:color w:val="FF0000"/>
          <w:sz w:val="22"/>
          <w:szCs w:val="22"/>
        </w:rPr>
        <w:t>:</w:t>
      </w:r>
      <w:r w:rsidR="007C187F" w:rsidRPr="00B21742">
        <w:rPr>
          <w:rFonts w:asciiTheme="minorHAnsi" w:eastAsia="Calibri" w:hAnsiTheme="minorHAnsi" w:cstheme="minorHAnsi"/>
          <w:b/>
          <w:color w:val="FF0000"/>
          <w:sz w:val="22"/>
          <w:szCs w:val="22"/>
        </w:rPr>
        <w:t>00</w:t>
      </w:r>
      <w:r w:rsidR="00FA0815" w:rsidRPr="00B21742">
        <w:rPr>
          <w:rFonts w:asciiTheme="minorHAnsi" w:eastAsia="Calibri" w:hAnsiTheme="minorHAnsi" w:cstheme="minorHAnsi"/>
          <w:color w:val="FF0000"/>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13EAE1E0"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Po wypełnieniu Formularza składania oferty i </w:t>
      </w:r>
      <w:r w:rsidR="00A67B83" w:rsidRPr="00CB5DF6">
        <w:rPr>
          <w:rFonts w:asciiTheme="minorHAnsi" w:eastAsia="Calibri" w:hAnsiTheme="minorHAnsi" w:cstheme="minorHAnsi"/>
          <w:sz w:val="22"/>
          <w:szCs w:val="22"/>
        </w:rPr>
        <w:t>dołączenia wszystkich</w:t>
      </w:r>
      <w:r w:rsidRPr="00CB5DF6">
        <w:rPr>
          <w:rFonts w:asciiTheme="minorHAnsi" w:eastAsia="Calibri" w:hAnsiTheme="minorHAnsi" w:cstheme="minorHAnsi"/>
          <w:sz w:val="22"/>
          <w:szCs w:val="22"/>
        </w:rPr>
        <w:t xml:space="preserve">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D9564E0" w14:textId="3A420082" w:rsidR="00385857" w:rsidRPr="00CB5DF6" w:rsidRDefault="00881A4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Termin składania i otwarcia ofert dodatkowych zmawiający przekaże w zaproszeniu do składania ofert dodatkowych, jeśli podejmie decyzję o prowadzeniu negocjacji.</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2" w:name="_Toc153287023"/>
            <w:r w:rsidRPr="00636B3B">
              <w:rPr>
                <w:rFonts w:asciiTheme="minorHAnsi" w:hAnsiTheme="minorHAnsi"/>
                <w:b/>
                <w:sz w:val="22"/>
                <w:szCs w:val="22"/>
              </w:rPr>
              <w:t>Rozdział 16.</w:t>
            </w:r>
            <w:r w:rsidRPr="00636B3B">
              <w:rPr>
                <w:rFonts w:asciiTheme="minorHAnsi" w:hAnsiTheme="minorHAnsi"/>
                <w:b/>
                <w:sz w:val="22"/>
                <w:szCs w:val="22"/>
              </w:rPr>
              <w:tab/>
              <w:t>Otwarcie ofert.</w:t>
            </w:r>
            <w:bookmarkEnd w:id="22"/>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6466B0E3" w:rsidR="00BF5605" w:rsidRPr="00C048E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dniu </w:t>
      </w:r>
      <w:r w:rsidR="00127D40">
        <w:rPr>
          <w:rFonts w:asciiTheme="minorHAnsi" w:eastAsia="Calibri" w:hAnsiTheme="minorHAnsi" w:cstheme="minorHAnsi"/>
          <w:b/>
          <w:color w:val="FF0000"/>
          <w:sz w:val="22"/>
          <w:szCs w:val="22"/>
        </w:rPr>
        <w:t>16.06</w:t>
      </w:r>
      <w:r w:rsidR="00127D40" w:rsidRPr="00B21742">
        <w:rPr>
          <w:rFonts w:asciiTheme="minorHAnsi" w:eastAsia="Calibri" w:hAnsiTheme="minorHAnsi" w:cstheme="minorHAnsi"/>
          <w:b/>
          <w:color w:val="FF0000"/>
          <w:sz w:val="22"/>
          <w:szCs w:val="22"/>
        </w:rPr>
        <w:t>.202</w:t>
      </w:r>
      <w:r w:rsidR="00127D40">
        <w:rPr>
          <w:rFonts w:asciiTheme="minorHAnsi" w:eastAsia="Calibri" w:hAnsiTheme="minorHAnsi" w:cstheme="minorHAnsi"/>
          <w:b/>
          <w:color w:val="FF0000"/>
          <w:sz w:val="22"/>
          <w:szCs w:val="22"/>
        </w:rPr>
        <w:t>5</w:t>
      </w:r>
      <w:r w:rsidR="00127D40" w:rsidRPr="00B21742">
        <w:rPr>
          <w:rFonts w:asciiTheme="minorHAnsi" w:eastAsia="Calibri" w:hAnsiTheme="minorHAnsi" w:cstheme="minorHAnsi"/>
          <w:b/>
          <w:color w:val="FF0000"/>
          <w:sz w:val="22"/>
          <w:szCs w:val="22"/>
        </w:rPr>
        <w:t xml:space="preserve">r. do godz. </w:t>
      </w:r>
      <w:r w:rsidR="00127D40">
        <w:rPr>
          <w:rFonts w:asciiTheme="minorHAnsi" w:eastAsia="Calibri" w:hAnsiTheme="minorHAnsi" w:cstheme="minorHAnsi"/>
          <w:b/>
          <w:color w:val="FF0000"/>
          <w:sz w:val="22"/>
          <w:szCs w:val="22"/>
        </w:rPr>
        <w:t>11</w:t>
      </w:r>
      <w:r w:rsidR="00127D40" w:rsidRPr="00B21742">
        <w:rPr>
          <w:rFonts w:asciiTheme="minorHAnsi" w:eastAsia="Calibri" w:hAnsiTheme="minorHAnsi" w:cstheme="minorHAnsi"/>
          <w:b/>
          <w:color w:val="FF0000"/>
          <w:sz w:val="22"/>
          <w:szCs w:val="22"/>
        </w:rPr>
        <w:t>:00</w:t>
      </w:r>
      <w:r w:rsidR="00BF5605" w:rsidRPr="00C048E6">
        <w:rPr>
          <w:rFonts w:asciiTheme="minorHAnsi" w:eastAsia="Calibri" w:hAnsiTheme="minorHAnsi" w:cstheme="minorHAnsi"/>
          <w:color w:val="000000" w:themeColor="text1"/>
          <w:sz w:val="22"/>
          <w:szCs w:val="22"/>
        </w:rPr>
        <w:t xml:space="preserve">, </w:t>
      </w:r>
      <w:r w:rsidR="00BF5605" w:rsidRPr="00C048E6">
        <w:rPr>
          <w:rFonts w:asciiTheme="minorHAnsi" w:eastAsia="Calibri" w:hAnsiTheme="minorHAnsi" w:cstheme="minorHAnsi"/>
          <w:sz w:val="22"/>
          <w:szCs w:val="22"/>
        </w:rPr>
        <w:t xml:space="preserve">nie </w:t>
      </w:r>
      <w:r w:rsidRPr="00C048E6">
        <w:rPr>
          <w:rFonts w:asciiTheme="minorHAnsi" w:eastAsia="Calibri" w:hAnsiTheme="minorHAnsi" w:cstheme="minorHAnsi"/>
          <w:sz w:val="22"/>
          <w:szCs w:val="22"/>
        </w:rPr>
        <w:t xml:space="preserve">później niż następnego dnia po </w:t>
      </w:r>
      <w:r w:rsidR="00BF5605" w:rsidRPr="00C048E6">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lastRenderedPageBreak/>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3"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3"/>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38BAAA55"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0 dni od upływu terminu składania ofert do dni tj. do dni</w:t>
      </w:r>
      <w:r w:rsidRPr="00C048E6">
        <w:rPr>
          <w:rFonts w:asciiTheme="minorHAnsi" w:hAnsiTheme="minorHAnsi" w:cstheme="minorHAnsi"/>
          <w:sz w:val="22"/>
          <w:szCs w:val="22"/>
        </w:rPr>
        <w:t xml:space="preserve">a </w:t>
      </w:r>
      <w:r w:rsidR="00127D40">
        <w:rPr>
          <w:rFonts w:asciiTheme="minorHAnsi" w:hAnsiTheme="minorHAnsi" w:cstheme="minorHAnsi"/>
          <w:b/>
          <w:bCs/>
          <w:color w:val="FF0000"/>
          <w:sz w:val="22"/>
          <w:szCs w:val="22"/>
        </w:rPr>
        <w:t>15</w:t>
      </w:r>
      <w:r w:rsidR="006E6DBC" w:rsidRPr="00B21742">
        <w:rPr>
          <w:rFonts w:asciiTheme="minorHAnsi" w:hAnsiTheme="minorHAnsi" w:cstheme="minorHAnsi"/>
          <w:b/>
          <w:bCs/>
          <w:color w:val="FF0000"/>
          <w:sz w:val="22"/>
          <w:szCs w:val="22"/>
        </w:rPr>
        <w:t>.0</w:t>
      </w:r>
      <w:r w:rsidR="00127D40">
        <w:rPr>
          <w:rFonts w:asciiTheme="minorHAnsi" w:hAnsiTheme="minorHAnsi" w:cstheme="minorHAnsi"/>
          <w:b/>
          <w:bCs/>
          <w:color w:val="FF0000"/>
          <w:sz w:val="22"/>
          <w:szCs w:val="22"/>
        </w:rPr>
        <w:t>7</w:t>
      </w:r>
      <w:r w:rsidR="006E6DBC" w:rsidRPr="00B21742">
        <w:rPr>
          <w:rFonts w:asciiTheme="minorHAnsi" w:hAnsiTheme="minorHAnsi" w:cstheme="minorHAnsi"/>
          <w:b/>
          <w:bCs/>
          <w:color w:val="FF0000"/>
          <w:sz w:val="22"/>
          <w:szCs w:val="22"/>
        </w:rPr>
        <w:t>.202</w:t>
      </w:r>
      <w:r w:rsidR="00127D40">
        <w:rPr>
          <w:rFonts w:asciiTheme="minorHAnsi" w:hAnsiTheme="minorHAnsi" w:cstheme="minorHAnsi"/>
          <w:b/>
          <w:bCs/>
          <w:color w:val="FF0000"/>
          <w:sz w:val="22"/>
          <w:szCs w:val="22"/>
        </w:rPr>
        <w:t>5</w:t>
      </w:r>
      <w:r w:rsidR="006E6DBC" w:rsidRPr="00B21742">
        <w:rPr>
          <w:rFonts w:asciiTheme="minorHAnsi" w:hAnsiTheme="minorHAnsi" w:cstheme="minorHAnsi"/>
          <w:b/>
          <w:bCs/>
          <w:color w:val="FF0000"/>
          <w:sz w:val="22"/>
          <w:szCs w:val="22"/>
        </w:rPr>
        <w:t>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4" w:name="_Toc153287025"/>
            <w:r w:rsidRPr="00636B3B">
              <w:rPr>
                <w:rFonts w:asciiTheme="minorHAnsi" w:hAnsiTheme="minorHAnsi"/>
                <w:b/>
                <w:sz w:val="22"/>
                <w:szCs w:val="22"/>
              </w:rPr>
              <w:t>Rozdział 18.</w:t>
            </w:r>
            <w:r w:rsidRPr="00636B3B">
              <w:rPr>
                <w:rFonts w:asciiTheme="minorHAnsi" w:hAnsiTheme="minorHAnsi"/>
                <w:b/>
                <w:sz w:val="22"/>
                <w:szCs w:val="22"/>
              </w:rPr>
              <w:tab/>
              <w:t>Opis kryteriów oceny ofert wraz z podaniem wag tych kryteriów i sposobu oceny ofert.</w:t>
            </w:r>
            <w:bookmarkEnd w:id="24"/>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CB5DF6" w:rsidRDefault="00F65DA1" w:rsidP="008C0F99">
      <w:pPr>
        <w:numPr>
          <w:ilvl w:val="0"/>
          <w:numId w:val="39"/>
        </w:numPr>
        <w:spacing w:line="240" w:lineRule="exact"/>
        <w:ind w:left="714" w:hanging="357"/>
        <w:jc w:val="both"/>
        <w:rPr>
          <w:rFonts w:asciiTheme="minorHAnsi" w:hAnsiTheme="minorHAnsi" w:cstheme="minorHAnsi"/>
          <w:sz w:val="22"/>
          <w:szCs w:val="22"/>
        </w:rPr>
      </w:pPr>
      <w:r w:rsidRPr="00CB5DF6">
        <w:rPr>
          <w:rFonts w:asciiTheme="minorHAnsi" w:hAnsiTheme="minorHAnsi" w:cstheme="minorHAnsi"/>
          <w:b/>
          <w:sz w:val="22"/>
          <w:szCs w:val="22"/>
        </w:rPr>
        <w:t>Cena (C)</w:t>
      </w:r>
      <w:r w:rsidRPr="00CB5DF6">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łączna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5" w:name="_Toc153287026"/>
            <w:r w:rsidRPr="00636B3B">
              <w:rPr>
                <w:rFonts w:asciiTheme="minorHAnsi" w:hAnsiTheme="minorHAnsi"/>
                <w:b/>
                <w:sz w:val="22"/>
                <w:szCs w:val="22"/>
              </w:rPr>
              <w:lastRenderedPageBreak/>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5"/>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6E1691F5"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w:t>
      </w:r>
      <w:r w:rsidR="002B10E4" w:rsidRPr="009243D3">
        <w:rPr>
          <w:rStyle w:val="markedcontent"/>
          <w:rFonts w:ascii="Calibri" w:hAnsi="Calibri" w:cs="Arial"/>
          <w:sz w:val="22"/>
          <w:szCs w:val="22"/>
        </w:rPr>
        <w:t>przypadku,</w:t>
      </w:r>
      <w:r w:rsidRPr="009243D3">
        <w:rPr>
          <w:rStyle w:val="markedcontent"/>
          <w:rFonts w:ascii="Calibri" w:hAnsi="Calibri" w:cs="Arial"/>
          <w:sz w:val="22"/>
          <w:szCs w:val="22"/>
        </w:rPr>
        <w:t xml:space="preserve">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229D9340"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W przypadku wyboru oferty wykonawcy, który w celu realizacji przedmiotu zamówienia, będzie korzystał z usług podwykonawcy, wówczas przedłoży </w:t>
      </w:r>
      <w:r w:rsidR="002B10E4" w:rsidRPr="00CB5DF6">
        <w:rPr>
          <w:rFonts w:asciiTheme="minorHAnsi" w:hAnsiTheme="minorHAnsi" w:cstheme="minorHAnsi"/>
          <w:sz w:val="22"/>
          <w:szCs w:val="22"/>
        </w:rPr>
        <w:t>zamawiającemu w</w:t>
      </w:r>
      <w:r w:rsidRPr="00CB5DF6">
        <w:rPr>
          <w:rFonts w:asciiTheme="minorHAnsi" w:hAnsiTheme="minorHAnsi" w:cstheme="minorHAnsi"/>
          <w:sz w:val="22"/>
          <w:szCs w:val="22"/>
        </w:rPr>
        <w:t xml:space="preserve"> terminie 7 dni od daty zawarcia </w:t>
      </w:r>
      <w:r w:rsidR="002B10E4" w:rsidRPr="00CB5DF6">
        <w:rPr>
          <w:rFonts w:asciiTheme="minorHAnsi" w:hAnsiTheme="minorHAnsi" w:cstheme="minorHAnsi"/>
          <w:sz w:val="22"/>
          <w:szCs w:val="22"/>
        </w:rPr>
        <w:t>niniejszej umowy</w:t>
      </w:r>
      <w:r w:rsidRPr="00CB5DF6">
        <w:rPr>
          <w:rFonts w:asciiTheme="minorHAnsi" w:hAnsiTheme="minorHAnsi" w:cstheme="minorHAnsi"/>
          <w:sz w:val="22"/>
          <w:szCs w:val="22"/>
        </w:rPr>
        <w:t>,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6"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6"/>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Pr>
          <w:rFonts w:ascii="Calibri" w:eastAsia="Calibri" w:hAnsi="Calibri" w:cs="Calibri"/>
          <w:b/>
          <w:sz w:val="22"/>
          <w:szCs w:val="22"/>
          <w:lang w:eastAsia="en-US"/>
        </w:rPr>
        <w:t>projekcie umowy (Z</w:t>
      </w:r>
      <w:r w:rsidRPr="000762A4">
        <w:rPr>
          <w:rFonts w:ascii="Calibri" w:eastAsia="Calibri" w:hAnsi="Calibri" w:cs="Calibri"/>
          <w:b/>
          <w:sz w:val="22"/>
          <w:szCs w:val="22"/>
          <w:lang w:eastAsia="en-US"/>
        </w:rPr>
        <w:t xml:space="preserve">ałącznik nr </w:t>
      </w:r>
      <w:r w:rsidR="004E55AF">
        <w:rPr>
          <w:rFonts w:ascii="Calibri" w:eastAsia="Calibri" w:hAnsi="Calibri" w:cs="Calibri"/>
          <w:b/>
          <w:sz w:val="22"/>
          <w:szCs w:val="22"/>
          <w:lang w:eastAsia="en-US"/>
        </w:rPr>
        <w:t>3</w:t>
      </w:r>
      <w:r w:rsidRPr="000762A4">
        <w:rPr>
          <w:rFonts w:ascii="Calibri" w:eastAsia="Calibri" w:hAnsi="Calibri" w:cs="Calibri"/>
          <w:b/>
          <w:sz w:val="22"/>
          <w:szCs w:val="22"/>
          <w:lang w:eastAsia="en-US"/>
        </w:rPr>
        <w:t xml:space="preserve"> do SWZ)</w:t>
      </w:r>
      <w:r w:rsidRPr="000762A4">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7" w:name="_Toc153287028"/>
            <w:r w:rsidRPr="00636B3B">
              <w:rPr>
                <w:rFonts w:asciiTheme="minorHAnsi" w:hAnsiTheme="minorHAnsi"/>
                <w:b/>
                <w:sz w:val="22"/>
                <w:szCs w:val="22"/>
              </w:rPr>
              <w:t>Rozdział 21.</w:t>
            </w:r>
            <w:r w:rsidRPr="00636B3B">
              <w:rPr>
                <w:rFonts w:asciiTheme="minorHAnsi" w:hAnsiTheme="minorHAnsi"/>
                <w:b/>
                <w:sz w:val="22"/>
                <w:szCs w:val="22"/>
              </w:rPr>
              <w:tab/>
              <w:t>Pouczenie o środkach ochrony prawnej przysługujących wykonawcy.</w:t>
            </w:r>
            <w:bookmarkEnd w:id="27"/>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w:t>
      </w:r>
      <w:r w:rsidRPr="00CB5DF6">
        <w:rPr>
          <w:rFonts w:asciiTheme="minorHAnsi" w:hAnsiTheme="minorHAnsi" w:cstheme="minorHAnsi"/>
          <w:bCs/>
          <w:sz w:val="22"/>
          <w:szCs w:val="22"/>
        </w:rPr>
        <w:lastRenderedPageBreak/>
        <w:t>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62F31ADB" w:rsidR="006D153B" w:rsidRPr="00636B3B" w:rsidRDefault="006D153B" w:rsidP="00636B3B">
            <w:pPr>
              <w:pStyle w:val="Nagwek2"/>
              <w:ind w:left="1134" w:hanging="1134"/>
              <w:rPr>
                <w:rFonts w:asciiTheme="minorHAnsi" w:hAnsiTheme="minorHAnsi"/>
                <w:b/>
                <w:sz w:val="22"/>
                <w:szCs w:val="22"/>
              </w:rPr>
            </w:pPr>
            <w:bookmarkStart w:id="28" w:name="_Toc153287030"/>
            <w:r w:rsidRPr="00636B3B">
              <w:rPr>
                <w:rFonts w:asciiTheme="minorHAnsi" w:hAnsiTheme="minorHAnsi"/>
                <w:b/>
                <w:sz w:val="22"/>
                <w:szCs w:val="22"/>
              </w:rPr>
              <w:t>Rozdział 2</w:t>
            </w:r>
            <w:r w:rsidR="00C66C3E">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8"/>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w:t>
      </w:r>
      <w:r w:rsidRPr="00CB5DF6">
        <w:rPr>
          <w:rFonts w:asciiTheme="minorHAnsi" w:hAnsiTheme="minorHAnsi" w:cstheme="minorHAnsi"/>
        </w:rPr>
        <w:lastRenderedPageBreak/>
        <w:t>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5642DFE7" w:rsidR="006D153B" w:rsidRPr="00636B3B" w:rsidRDefault="006D153B" w:rsidP="00636B3B">
            <w:pPr>
              <w:pStyle w:val="Nagwek2"/>
              <w:ind w:left="1134" w:hanging="1134"/>
              <w:rPr>
                <w:rFonts w:asciiTheme="minorHAnsi" w:hAnsiTheme="minorHAnsi"/>
                <w:b/>
                <w:sz w:val="22"/>
                <w:szCs w:val="22"/>
              </w:rPr>
            </w:pPr>
            <w:bookmarkStart w:id="29" w:name="_Toc153287031"/>
            <w:r w:rsidRPr="00636B3B">
              <w:rPr>
                <w:rFonts w:asciiTheme="minorHAnsi" w:hAnsiTheme="minorHAnsi"/>
                <w:b/>
                <w:sz w:val="22"/>
                <w:szCs w:val="22"/>
              </w:rPr>
              <w:t>Rozdział 2</w:t>
            </w:r>
            <w:r w:rsidR="00C66C3E">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9"/>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1 do SWZ - formularz cenowy;</w:t>
      </w:r>
    </w:p>
    <w:p w14:paraId="13C2FCEA" w14:textId="45DF075A" w:rsidR="00D0622C" w:rsidRPr="003E5BC1"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2 do SWZ - oświadczenie wykonawcy/wykonawców wspólnie ubiegającego się o udzielenie zamówienia;</w:t>
      </w:r>
    </w:p>
    <w:p w14:paraId="54BD85BC" w14:textId="1F0FCAB6" w:rsidR="00672ECD" w:rsidRPr="004E55AF"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D0622C">
        <w:rPr>
          <w:rFonts w:ascii="Calibri" w:hAnsi="Calibri" w:cs="Calibri"/>
          <w:sz w:val="22"/>
          <w:szCs w:val="22"/>
        </w:rPr>
        <w:t xml:space="preserve">Załącznik nr </w:t>
      </w:r>
      <w:r w:rsidR="003E5BC1">
        <w:rPr>
          <w:rFonts w:ascii="Calibri" w:hAnsi="Calibri" w:cs="Calibri"/>
          <w:sz w:val="22"/>
          <w:szCs w:val="22"/>
        </w:rPr>
        <w:t>3</w:t>
      </w:r>
      <w:r w:rsidRPr="00D0622C">
        <w:rPr>
          <w:rFonts w:ascii="Calibri" w:hAnsi="Calibri" w:cs="Calibri"/>
          <w:sz w:val="22"/>
          <w:szCs w:val="22"/>
        </w:rPr>
        <w:t xml:space="preserve"> do SWZ - </w:t>
      </w:r>
      <w:r w:rsidRPr="004E55AF">
        <w:rPr>
          <w:rFonts w:ascii="Calibri" w:hAnsi="Calibri" w:cs="Calibri"/>
          <w:sz w:val="22"/>
          <w:szCs w:val="22"/>
        </w:rPr>
        <w:t>projekt umowy.</w:t>
      </w:r>
    </w:p>
    <w:sectPr w:rsidR="00672ECD" w:rsidRPr="004E55AF" w:rsidSect="00027656">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5706A" w14:textId="77777777" w:rsidR="00B91417" w:rsidRDefault="00B91417">
      <w:r>
        <w:separator/>
      </w:r>
    </w:p>
  </w:endnote>
  <w:endnote w:type="continuationSeparator" w:id="0">
    <w:p w14:paraId="315805BE" w14:textId="77777777" w:rsidR="00B91417" w:rsidRDefault="00B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8E1861" w:rsidRDefault="008E1861"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91F8" w14:textId="77777777" w:rsidR="00B91417" w:rsidRDefault="00B91417">
      <w:r>
        <w:separator/>
      </w:r>
    </w:p>
  </w:footnote>
  <w:footnote w:type="continuationSeparator" w:id="0">
    <w:p w14:paraId="5178B8E4" w14:textId="77777777" w:rsidR="00B91417" w:rsidRDefault="00B91417">
      <w:r>
        <w:continuationSeparator/>
      </w:r>
    </w:p>
  </w:footnote>
  <w:footnote w:id="1">
    <w:p w14:paraId="7E459165" w14:textId="77777777" w:rsidR="008E1861" w:rsidRPr="001C2340" w:rsidRDefault="008E1861"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8E1861" w:rsidRPr="001C2340" w:rsidRDefault="008E1861"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E1861" w:rsidRPr="001C2340" w:rsidRDefault="008E1861"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9"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7"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65"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5"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9504979">
    <w:abstractNumId w:val="19"/>
  </w:num>
  <w:num w:numId="2" w16cid:durableId="697200760">
    <w:abstractNumId w:val="70"/>
  </w:num>
  <w:num w:numId="3" w16cid:durableId="337775946">
    <w:abstractNumId w:val="54"/>
  </w:num>
  <w:num w:numId="4" w16cid:durableId="1135030202">
    <w:abstractNumId w:val="58"/>
  </w:num>
  <w:num w:numId="5" w16cid:durableId="919830427">
    <w:abstractNumId w:val="66"/>
  </w:num>
  <w:num w:numId="6" w16cid:durableId="1074625312">
    <w:abstractNumId w:val="59"/>
  </w:num>
  <w:num w:numId="7" w16cid:durableId="1153374936">
    <w:abstractNumId w:val="77"/>
  </w:num>
  <w:num w:numId="8" w16cid:durableId="1564023373">
    <w:abstractNumId w:val="79"/>
  </w:num>
  <w:num w:numId="9" w16cid:durableId="1870339522">
    <w:abstractNumId w:val="25"/>
  </w:num>
  <w:num w:numId="10" w16cid:durableId="854225449">
    <w:abstractNumId w:val="20"/>
  </w:num>
  <w:num w:numId="11" w16cid:durableId="920676785">
    <w:abstractNumId w:val="62"/>
  </w:num>
  <w:num w:numId="12" w16cid:durableId="526337440">
    <w:abstractNumId w:val="22"/>
  </w:num>
  <w:num w:numId="13" w16cid:durableId="1466776717">
    <w:abstractNumId w:val="51"/>
  </w:num>
  <w:num w:numId="14" w16cid:durableId="498468753">
    <w:abstractNumId w:val="61"/>
  </w:num>
  <w:num w:numId="15" w16cid:durableId="2042238412">
    <w:abstractNumId w:val="41"/>
  </w:num>
  <w:num w:numId="16" w16cid:durableId="1216158621">
    <w:abstractNumId w:val="42"/>
  </w:num>
  <w:num w:numId="17" w16cid:durableId="1089230900">
    <w:abstractNumId w:val="32"/>
  </w:num>
  <w:num w:numId="18" w16cid:durableId="1152331079">
    <w:abstractNumId w:val="43"/>
  </w:num>
  <w:num w:numId="19" w16cid:durableId="369190121">
    <w:abstractNumId w:val="69"/>
  </w:num>
  <w:num w:numId="20" w16cid:durableId="845483149">
    <w:abstractNumId w:val="1"/>
  </w:num>
  <w:num w:numId="21" w16cid:durableId="617026385">
    <w:abstractNumId w:val="0"/>
  </w:num>
  <w:num w:numId="22" w16cid:durableId="1282109202">
    <w:abstractNumId w:val="27"/>
  </w:num>
  <w:num w:numId="23" w16cid:durableId="415246941">
    <w:abstractNumId w:val="46"/>
  </w:num>
  <w:num w:numId="24" w16cid:durableId="2038237070">
    <w:abstractNumId w:val="78"/>
  </w:num>
  <w:num w:numId="25" w16cid:durableId="2075618773">
    <w:abstractNumId w:val="40"/>
  </w:num>
  <w:num w:numId="26" w16cid:durableId="1924993762">
    <w:abstractNumId w:val="34"/>
  </w:num>
  <w:num w:numId="27" w16cid:durableId="1841430809">
    <w:abstractNumId w:val="44"/>
  </w:num>
  <w:num w:numId="28" w16cid:durableId="1177429656">
    <w:abstractNumId w:val="65"/>
  </w:num>
  <w:num w:numId="29" w16cid:durableId="1729910626">
    <w:abstractNumId w:val="39"/>
  </w:num>
  <w:num w:numId="30" w16cid:durableId="75791133">
    <w:abstractNumId w:val="38"/>
  </w:num>
  <w:num w:numId="31" w16cid:durableId="1086918518">
    <w:abstractNumId w:val="53"/>
  </w:num>
  <w:num w:numId="32" w16cid:durableId="1870297152">
    <w:abstractNumId w:val="63"/>
  </w:num>
  <w:num w:numId="33" w16cid:durableId="1032727082">
    <w:abstractNumId w:val="23"/>
  </w:num>
  <w:num w:numId="34" w16cid:durableId="924925387">
    <w:abstractNumId w:val="71"/>
  </w:num>
  <w:num w:numId="35" w16cid:durableId="628633896">
    <w:abstractNumId w:val="68"/>
  </w:num>
  <w:num w:numId="36" w16cid:durableId="1595702726">
    <w:abstractNumId w:val="47"/>
  </w:num>
  <w:num w:numId="37" w16cid:durableId="943079323">
    <w:abstractNumId w:val="76"/>
  </w:num>
  <w:num w:numId="38" w16cid:durableId="1701008329">
    <w:abstractNumId w:val="75"/>
  </w:num>
  <w:num w:numId="39" w16cid:durableId="141508538">
    <w:abstractNumId w:val="29"/>
  </w:num>
  <w:num w:numId="40" w16cid:durableId="1438022787">
    <w:abstractNumId w:val="35"/>
  </w:num>
  <w:num w:numId="41" w16cid:durableId="524252287">
    <w:abstractNumId w:val="28"/>
  </w:num>
  <w:num w:numId="42" w16cid:durableId="425804651">
    <w:abstractNumId w:val="67"/>
  </w:num>
  <w:num w:numId="43" w16cid:durableId="984161071">
    <w:abstractNumId w:val="52"/>
  </w:num>
  <w:num w:numId="44" w16cid:durableId="1583249426">
    <w:abstractNumId w:val="55"/>
  </w:num>
  <w:num w:numId="45" w16cid:durableId="1862163911">
    <w:abstractNumId w:val="72"/>
  </w:num>
  <w:num w:numId="46" w16cid:durableId="322665883">
    <w:abstractNumId w:val="57"/>
  </w:num>
  <w:num w:numId="47" w16cid:durableId="140579937">
    <w:abstractNumId w:val="56"/>
  </w:num>
  <w:num w:numId="48" w16cid:durableId="1395274246">
    <w:abstractNumId w:val="21"/>
  </w:num>
  <w:num w:numId="49" w16cid:durableId="758674467">
    <w:abstractNumId w:val="73"/>
  </w:num>
  <w:num w:numId="50" w16cid:durableId="1851331807">
    <w:abstractNumId w:val="64"/>
  </w:num>
  <w:num w:numId="51" w16cid:durableId="1257860540">
    <w:abstractNumId w:val="37"/>
  </w:num>
  <w:num w:numId="52" w16cid:durableId="2105420157">
    <w:abstractNumId w:val="24"/>
  </w:num>
  <w:num w:numId="53" w16cid:durableId="2084328517">
    <w:abstractNumId w:val="31"/>
  </w:num>
  <w:num w:numId="54" w16cid:durableId="1339382158">
    <w:abstractNumId w:val="26"/>
  </w:num>
  <w:num w:numId="55" w16cid:durableId="577206930">
    <w:abstractNumId w:val="49"/>
  </w:num>
  <w:num w:numId="56" w16cid:durableId="1342318999">
    <w:abstractNumId w:val="50"/>
  </w:num>
  <w:num w:numId="57" w16cid:durableId="2108890789">
    <w:abstractNumId w:val="60"/>
  </w:num>
  <w:num w:numId="58" w16cid:durableId="526991696">
    <w:abstractNumId w:val="74"/>
  </w:num>
  <w:num w:numId="59" w16cid:durableId="454640016">
    <w:abstractNumId w:val="48"/>
  </w:num>
  <w:num w:numId="60" w16cid:durableId="211159703">
    <w:abstractNumId w:val="36"/>
  </w:num>
  <w:num w:numId="61" w16cid:durableId="244264297">
    <w:abstractNumId w:val="30"/>
  </w:num>
  <w:num w:numId="62" w16cid:durableId="960771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6627771">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7C5E"/>
    <w:rsid w:val="000255F2"/>
    <w:rsid w:val="00026F21"/>
    <w:rsid w:val="00027656"/>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F40"/>
    <w:rsid w:val="00045759"/>
    <w:rsid w:val="00050703"/>
    <w:rsid w:val="00050EB2"/>
    <w:rsid w:val="00051AB3"/>
    <w:rsid w:val="000529D4"/>
    <w:rsid w:val="00053333"/>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1A8A"/>
    <w:rsid w:val="000720A7"/>
    <w:rsid w:val="00072642"/>
    <w:rsid w:val="00072AF4"/>
    <w:rsid w:val="000736EF"/>
    <w:rsid w:val="00073962"/>
    <w:rsid w:val="00073FEB"/>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7E04"/>
    <w:rsid w:val="0009054A"/>
    <w:rsid w:val="00090B10"/>
    <w:rsid w:val="0009197C"/>
    <w:rsid w:val="00092705"/>
    <w:rsid w:val="00093A66"/>
    <w:rsid w:val="0009591E"/>
    <w:rsid w:val="000966A6"/>
    <w:rsid w:val="00097D5D"/>
    <w:rsid w:val="000A0024"/>
    <w:rsid w:val="000A06EC"/>
    <w:rsid w:val="000A0F5A"/>
    <w:rsid w:val="000A1C23"/>
    <w:rsid w:val="000A2B9E"/>
    <w:rsid w:val="000A2DF1"/>
    <w:rsid w:val="000A3271"/>
    <w:rsid w:val="000A506A"/>
    <w:rsid w:val="000A557E"/>
    <w:rsid w:val="000A5661"/>
    <w:rsid w:val="000A5A53"/>
    <w:rsid w:val="000A5F16"/>
    <w:rsid w:val="000A66EB"/>
    <w:rsid w:val="000B24B4"/>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F0C"/>
    <w:rsid w:val="000F16DA"/>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373"/>
    <w:rsid w:val="00114846"/>
    <w:rsid w:val="00115243"/>
    <w:rsid w:val="001165BD"/>
    <w:rsid w:val="0011771A"/>
    <w:rsid w:val="001177CD"/>
    <w:rsid w:val="00117A42"/>
    <w:rsid w:val="00122710"/>
    <w:rsid w:val="00122FD6"/>
    <w:rsid w:val="001233B8"/>
    <w:rsid w:val="00124126"/>
    <w:rsid w:val="00124E14"/>
    <w:rsid w:val="00126DB4"/>
    <w:rsid w:val="00126E6E"/>
    <w:rsid w:val="00126FC1"/>
    <w:rsid w:val="0012785B"/>
    <w:rsid w:val="00127D40"/>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3C88"/>
    <w:rsid w:val="001A42BC"/>
    <w:rsid w:val="001A4805"/>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80B"/>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168"/>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229"/>
    <w:rsid w:val="00252F8F"/>
    <w:rsid w:val="00253C2B"/>
    <w:rsid w:val="00256714"/>
    <w:rsid w:val="00257B81"/>
    <w:rsid w:val="002600C9"/>
    <w:rsid w:val="002601EB"/>
    <w:rsid w:val="002637A6"/>
    <w:rsid w:val="00264244"/>
    <w:rsid w:val="002642D8"/>
    <w:rsid w:val="00264A24"/>
    <w:rsid w:val="00265EE8"/>
    <w:rsid w:val="0026673A"/>
    <w:rsid w:val="00266E21"/>
    <w:rsid w:val="00267840"/>
    <w:rsid w:val="00267B2A"/>
    <w:rsid w:val="002715D1"/>
    <w:rsid w:val="00271F4C"/>
    <w:rsid w:val="002723B1"/>
    <w:rsid w:val="002729DE"/>
    <w:rsid w:val="00272C23"/>
    <w:rsid w:val="00273377"/>
    <w:rsid w:val="0027350C"/>
    <w:rsid w:val="0027378D"/>
    <w:rsid w:val="002738EF"/>
    <w:rsid w:val="00273C8C"/>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0E4"/>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64BB"/>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014F"/>
    <w:rsid w:val="0031201B"/>
    <w:rsid w:val="003129EC"/>
    <w:rsid w:val="00312D38"/>
    <w:rsid w:val="00313078"/>
    <w:rsid w:val="00316CF9"/>
    <w:rsid w:val="00317472"/>
    <w:rsid w:val="00317A3D"/>
    <w:rsid w:val="0032000A"/>
    <w:rsid w:val="0032008D"/>
    <w:rsid w:val="0032095C"/>
    <w:rsid w:val="00320A31"/>
    <w:rsid w:val="003216A2"/>
    <w:rsid w:val="00323823"/>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6C55"/>
    <w:rsid w:val="003C7128"/>
    <w:rsid w:val="003C771E"/>
    <w:rsid w:val="003D0386"/>
    <w:rsid w:val="003D0899"/>
    <w:rsid w:val="003D1495"/>
    <w:rsid w:val="003D2E61"/>
    <w:rsid w:val="003D3D81"/>
    <w:rsid w:val="003D4D48"/>
    <w:rsid w:val="003D50CE"/>
    <w:rsid w:val="003D5317"/>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D0D"/>
    <w:rsid w:val="003F103E"/>
    <w:rsid w:val="003F14B6"/>
    <w:rsid w:val="003F1BF8"/>
    <w:rsid w:val="003F22FA"/>
    <w:rsid w:val="003F2424"/>
    <w:rsid w:val="003F2633"/>
    <w:rsid w:val="003F26EE"/>
    <w:rsid w:val="003F289C"/>
    <w:rsid w:val="003F2A63"/>
    <w:rsid w:val="003F3015"/>
    <w:rsid w:val="003F3A24"/>
    <w:rsid w:val="003F4409"/>
    <w:rsid w:val="003F47B7"/>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2B4E"/>
    <w:rsid w:val="004137EE"/>
    <w:rsid w:val="004138F3"/>
    <w:rsid w:val="00413A1D"/>
    <w:rsid w:val="00414B2C"/>
    <w:rsid w:val="00416021"/>
    <w:rsid w:val="00416EDE"/>
    <w:rsid w:val="00421EE3"/>
    <w:rsid w:val="00422318"/>
    <w:rsid w:val="00423E25"/>
    <w:rsid w:val="00423F1D"/>
    <w:rsid w:val="0042490A"/>
    <w:rsid w:val="00424C2B"/>
    <w:rsid w:val="0042538A"/>
    <w:rsid w:val="00425541"/>
    <w:rsid w:val="00425934"/>
    <w:rsid w:val="004276A6"/>
    <w:rsid w:val="004276BF"/>
    <w:rsid w:val="00427D89"/>
    <w:rsid w:val="00430258"/>
    <w:rsid w:val="0043094C"/>
    <w:rsid w:val="00431E35"/>
    <w:rsid w:val="00432D2C"/>
    <w:rsid w:val="00433B2D"/>
    <w:rsid w:val="00433DAF"/>
    <w:rsid w:val="00434AA0"/>
    <w:rsid w:val="004351B9"/>
    <w:rsid w:val="00436BE1"/>
    <w:rsid w:val="00437A2A"/>
    <w:rsid w:val="00440491"/>
    <w:rsid w:val="00441308"/>
    <w:rsid w:val="004413AA"/>
    <w:rsid w:val="00441CFA"/>
    <w:rsid w:val="00441E24"/>
    <w:rsid w:val="004423E2"/>
    <w:rsid w:val="00442FEE"/>
    <w:rsid w:val="00443081"/>
    <w:rsid w:val="00443112"/>
    <w:rsid w:val="00443590"/>
    <w:rsid w:val="00444704"/>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14A4"/>
    <w:rsid w:val="004D15AD"/>
    <w:rsid w:val="004D2112"/>
    <w:rsid w:val="004D2782"/>
    <w:rsid w:val="004D27FA"/>
    <w:rsid w:val="004D32A1"/>
    <w:rsid w:val="004D36F9"/>
    <w:rsid w:val="004D42DA"/>
    <w:rsid w:val="004D4D9D"/>
    <w:rsid w:val="004D4DCE"/>
    <w:rsid w:val="004D7262"/>
    <w:rsid w:val="004E0D9D"/>
    <w:rsid w:val="004E1659"/>
    <w:rsid w:val="004E2D15"/>
    <w:rsid w:val="004E55AF"/>
    <w:rsid w:val="004E58C0"/>
    <w:rsid w:val="004E715A"/>
    <w:rsid w:val="004E7658"/>
    <w:rsid w:val="004E76D3"/>
    <w:rsid w:val="004F062C"/>
    <w:rsid w:val="004F093E"/>
    <w:rsid w:val="004F22B1"/>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6341"/>
    <w:rsid w:val="005270BE"/>
    <w:rsid w:val="005272E7"/>
    <w:rsid w:val="0052753F"/>
    <w:rsid w:val="00527605"/>
    <w:rsid w:val="005306F2"/>
    <w:rsid w:val="00530BF3"/>
    <w:rsid w:val="00531535"/>
    <w:rsid w:val="005315DA"/>
    <w:rsid w:val="00531D13"/>
    <w:rsid w:val="00533940"/>
    <w:rsid w:val="00534B11"/>
    <w:rsid w:val="005355A4"/>
    <w:rsid w:val="00535E56"/>
    <w:rsid w:val="005360E3"/>
    <w:rsid w:val="00540CCB"/>
    <w:rsid w:val="00540DD2"/>
    <w:rsid w:val="00541027"/>
    <w:rsid w:val="005415C0"/>
    <w:rsid w:val="00541CB5"/>
    <w:rsid w:val="00541D6C"/>
    <w:rsid w:val="0054244F"/>
    <w:rsid w:val="005430A5"/>
    <w:rsid w:val="00543318"/>
    <w:rsid w:val="00543E07"/>
    <w:rsid w:val="00544059"/>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3DC7"/>
    <w:rsid w:val="005B3EC1"/>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1D0"/>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679F"/>
    <w:rsid w:val="00607695"/>
    <w:rsid w:val="00610454"/>
    <w:rsid w:val="00610C37"/>
    <w:rsid w:val="00610FD4"/>
    <w:rsid w:val="00612AE8"/>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317B"/>
    <w:rsid w:val="006345BB"/>
    <w:rsid w:val="00635910"/>
    <w:rsid w:val="00636B3B"/>
    <w:rsid w:val="0064105B"/>
    <w:rsid w:val="006420B6"/>
    <w:rsid w:val="006424B2"/>
    <w:rsid w:val="00643CD7"/>
    <w:rsid w:val="00644BB8"/>
    <w:rsid w:val="00645008"/>
    <w:rsid w:val="006461E7"/>
    <w:rsid w:val="006467E4"/>
    <w:rsid w:val="00646F99"/>
    <w:rsid w:val="00647736"/>
    <w:rsid w:val="00650422"/>
    <w:rsid w:val="00651634"/>
    <w:rsid w:val="00651C30"/>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B09"/>
    <w:rsid w:val="006E47F5"/>
    <w:rsid w:val="006E4B5F"/>
    <w:rsid w:val="006E4E81"/>
    <w:rsid w:val="006E5278"/>
    <w:rsid w:val="006E5822"/>
    <w:rsid w:val="006E6278"/>
    <w:rsid w:val="006E6DBC"/>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60E2"/>
    <w:rsid w:val="00730932"/>
    <w:rsid w:val="00732C70"/>
    <w:rsid w:val="00732EB0"/>
    <w:rsid w:val="0073334A"/>
    <w:rsid w:val="00733959"/>
    <w:rsid w:val="0073444E"/>
    <w:rsid w:val="00734794"/>
    <w:rsid w:val="00735E03"/>
    <w:rsid w:val="007362E0"/>
    <w:rsid w:val="007366B2"/>
    <w:rsid w:val="00736E2C"/>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2C4D"/>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55B1"/>
    <w:rsid w:val="00796100"/>
    <w:rsid w:val="007962CD"/>
    <w:rsid w:val="00796C30"/>
    <w:rsid w:val="007A0DDD"/>
    <w:rsid w:val="007A17E9"/>
    <w:rsid w:val="007A1968"/>
    <w:rsid w:val="007A19BA"/>
    <w:rsid w:val="007A369B"/>
    <w:rsid w:val="007A3CB6"/>
    <w:rsid w:val="007A44CA"/>
    <w:rsid w:val="007A5C7C"/>
    <w:rsid w:val="007A6C13"/>
    <w:rsid w:val="007A7406"/>
    <w:rsid w:val="007A78CA"/>
    <w:rsid w:val="007B0410"/>
    <w:rsid w:val="007B0A54"/>
    <w:rsid w:val="007B0CC3"/>
    <w:rsid w:val="007B0F20"/>
    <w:rsid w:val="007B16D7"/>
    <w:rsid w:val="007B214B"/>
    <w:rsid w:val="007B29E6"/>
    <w:rsid w:val="007B2B63"/>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C2A"/>
    <w:rsid w:val="007E7D75"/>
    <w:rsid w:val="007F1448"/>
    <w:rsid w:val="007F19C2"/>
    <w:rsid w:val="007F1C84"/>
    <w:rsid w:val="007F225B"/>
    <w:rsid w:val="007F27E1"/>
    <w:rsid w:val="007F32C0"/>
    <w:rsid w:val="007F437F"/>
    <w:rsid w:val="007F4D2F"/>
    <w:rsid w:val="007F52CF"/>
    <w:rsid w:val="007F5BF5"/>
    <w:rsid w:val="007F65A7"/>
    <w:rsid w:val="007F6DE2"/>
    <w:rsid w:val="007F7E6B"/>
    <w:rsid w:val="008018DA"/>
    <w:rsid w:val="00801963"/>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6937"/>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52D"/>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33F"/>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4F6"/>
    <w:rsid w:val="008E186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F27"/>
    <w:rsid w:val="00913149"/>
    <w:rsid w:val="009138F8"/>
    <w:rsid w:val="0091396F"/>
    <w:rsid w:val="00914330"/>
    <w:rsid w:val="00914B3E"/>
    <w:rsid w:val="00915DCC"/>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3116"/>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470B8"/>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F65"/>
    <w:rsid w:val="009C721B"/>
    <w:rsid w:val="009D2FCB"/>
    <w:rsid w:val="009D3B3A"/>
    <w:rsid w:val="009D3CB9"/>
    <w:rsid w:val="009D44B5"/>
    <w:rsid w:val="009D4CC2"/>
    <w:rsid w:val="009D4F22"/>
    <w:rsid w:val="009D5233"/>
    <w:rsid w:val="009D6517"/>
    <w:rsid w:val="009D6834"/>
    <w:rsid w:val="009E22D7"/>
    <w:rsid w:val="009E31B5"/>
    <w:rsid w:val="009E36C8"/>
    <w:rsid w:val="009E4D1C"/>
    <w:rsid w:val="009E544D"/>
    <w:rsid w:val="009E60CA"/>
    <w:rsid w:val="009E6C52"/>
    <w:rsid w:val="009E708E"/>
    <w:rsid w:val="009E736B"/>
    <w:rsid w:val="009E7839"/>
    <w:rsid w:val="009E7E23"/>
    <w:rsid w:val="009F0534"/>
    <w:rsid w:val="009F1C2D"/>
    <w:rsid w:val="009F305D"/>
    <w:rsid w:val="009F37C5"/>
    <w:rsid w:val="009F5DC5"/>
    <w:rsid w:val="009F603A"/>
    <w:rsid w:val="009F6FEB"/>
    <w:rsid w:val="009F7561"/>
    <w:rsid w:val="00A0017D"/>
    <w:rsid w:val="00A006FF"/>
    <w:rsid w:val="00A00B82"/>
    <w:rsid w:val="00A00BFA"/>
    <w:rsid w:val="00A01EDB"/>
    <w:rsid w:val="00A02697"/>
    <w:rsid w:val="00A02735"/>
    <w:rsid w:val="00A0337A"/>
    <w:rsid w:val="00A05439"/>
    <w:rsid w:val="00A06120"/>
    <w:rsid w:val="00A061DC"/>
    <w:rsid w:val="00A072C2"/>
    <w:rsid w:val="00A07BD4"/>
    <w:rsid w:val="00A07CD8"/>
    <w:rsid w:val="00A11F94"/>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83"/>
    <w:rsid w:val="00A67BF7"/>
    <w:rsid w:val="00A70074"/>
    <w:rsid w:val="00A71A8A"/>
    <w:rsid w:val="00A72AED"/>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55E0"/>
    <w:rsid w:val="00A96C3B"/>
    <w:rsid w:val="00AA0F88"/>
    <w:rsid w:val="00AA30C3"/>
    <w:rsid w:val="00AA61F7"/>
    <w:rsid w:val="00AA6459"/>
    <w:rsid w:val="00AB186E"/>
    <w:rsid w:val="00AB1D73"/>
    <w:rsid w:val="00AB2FE5"/>
    <w:rsid w:val="00AB3393"/>
    <w:rsid w:val="00AB3995"/>
    <w:rsid w:val="00AB45B9"/>
    <w:rsid w:val="00AB4BCD"/>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D78C3"/>
    <w:rsid w:val="00AE083C"/>
    <w:rsid w:val="00AE118C"/>
    <w:rsid w:val="00AE1791"/>
    <w:rsid w:val="00AE1F72"/>
    <w:rsid w:val="00AE25AA"/>
    <w:rsid w:val="00AE2622"/>
    <w:rsid w:val="00AE2CEB"/>
    <w:rsid w:val="00AE2F9B"/>
    <w:rsid w:val="00AE39F1"/>
    <w:rsid w:val="00AE3C7D"/>
    <w:rsid w:val="00AE4143"/>
    <w:rsid w:val="00AE44F3"/>
    <w:rsid w:val="00AE6416"/>
    <w:rsid w:val="00AE6D16"/>
    <w:rsid w:val="00AE6E17"/>
    <w:rsid w:val="00AF0302"/>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742"/>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1F14"/>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1417"/>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48E6"/>
    <w:rsid w:val="00C05289"/>
    <w:rsid w:val="00C05674"/>
    <w:rsid w:val="00C05A1C"/>
    <w:rsid w:val="00C05F1B"/>
    <w:rsid w:val="00C10368"/>
    <w:rsid w:val="00C108C5"/>
    <w:rsid w:val="00C127EE"/>
    <w:rsid w:val="00C12A54"/>
    <w:rsid w:val="00C130AF"/>
    <w:rsid w:val="00C1467D"/>
    <w:rsid w:val="00C16380"/>
    <w:rsid w:val="00C179E2"/>
    <w:rsid w:val="00C17F0B"/>
    <w:rsid w:val="00C17F23"/>
    <w:rsid w:val="00C20998"/>
    <w:rsid w:val="00C20A4A"/>
    <w:rsid w:val="00C2188E"/>
    <w:rsid w:val="00C225B4"/>
    <w:rsid w:val="00C23CB5"/>
    <w:rsid w:val="00C2420C"/>
    <w:rsid w:val="00C246AF"/>
    <w:rsid w:val="00C24D84"/>
    <w:rsid w:val="00C26DB2"/>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6C3E"/>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5DF6"/>
    <w:rsid w:val="00CB5E99"/>
    <w:rsid w:val="00CB65DC"/>
    <w:rsid w:val="00CB6EEA"/>
    <w:rsid w:val="00CC02BD"/>
    <w:rsid w:val="00CC102D"/>
    <w:rsid w:val="00CC1813"/>
    <w:rsid w:val="00CC299A"/>
    <w:rsid w:val="00CC3090"/>
    <w:rsid w:val="00CC39AA"/>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2F79"/>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468C"/>
    <w:rsid w:val="00D24861"/>
    <w:rsid w:val="00D26CAA"/>
    <w:rsid w:val="00D26E67"/>
    <w:rsid w:val="00D27660"/>
    <w:rsid w:val="00D2780C"/>
    <w:rsid w:val="00D27CBF"/>
    <w:rsid w:val="00D32FA4"/>
    <w:rsid w:val="00D33B8C"/>
    <w:rsid w:val="00D3470C"/>
    <w:rsid w:val="00D35204"/>
    <w:rsid w:val="00D35F2B"/>
    <w:rsid w:val="00D3644E"/>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B7D59"/>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093"/>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433B"/>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58C8"/>
    <w:rsid w:val="00E47285"/>
    <w:rsid w:val="00E5004E"/>
    <w:rsid w:val="00E5074E"/>
    <w:rsid w:val="00E50FE7"/>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F55"/>
    <w:rsid w:val="00EF0407"/>
    <w:rsid w:val="00EF0DA5"/>
    <w:rsid w:val="00EF117B"/>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A9A"/>
    <w:rsid w:val="00F25588"/>
    <w:rsid w:val="00F25C6E"/>
    <w:rsid w:val="00F25EAF"/>
    <w:rsid w:val="00F26677"/>
    <w:rsid w:val="00F27715"/>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1A7"/>
    <w:rsid w:val="00F43B62"/>
    <w:rsid w:val="00F43E0F"/>
    <w:rsid w:val="00F458A0"/>
    <w:rsid w:val="00F4599C"/>
    <w:rsid w:val="00F47AC2"/>
    <w:rsid w:val="00F47E44"/>
    <w:rsid w:val="00F50122"/>
    <w:rsid w:val="00F50F6C"/>
    <w:rsid w:val="00F544BA"/>
    <w:rsid w:val="00F54B07"/>
    <w:rsid w:val="00F556F0"/>
    <w:rsid w:val="00F561BF"/>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A4E"/>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C891"/>
  <w15:docId w15:val="{08A53FAE-6990-4BEE-90F6-48FBF7A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C04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584729397">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0678297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123523"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D351-24D1-4988-81B7-91677B33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16</Pages>
  <Words>7754</Words>
  <Characters>46526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54172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Marta Kulma-Rechul</cp:lastModifiedBy>
  <cp:revision>30</cp:revision>
  <cp:lastPrinted>2024-11-25T11:07:00Z</cp:lastPrinted>
  <dcterms:created xsi:type="dcterms:W3CDTF">2023-11-23T06:15:00Z</dcterms:created>
  <dcterms:modified xsi:type="dcterms:W3CDTF">2025-06-06T11:04:00Z</dcterms:modified>
</cp:coreProperties>
</file>