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9097B34" w14:textId="77777777" w:rsidR="00631DED" w:rsidRDefault="00631DED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B21C344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7A462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7005FE">
        <w:rPr>
          <w:b/>
          <w:bCs/>
          <w:sz w:val="22"/>
          <w:szCs w:val="22"/>
          <w:lang w:eastAsia="ar-SA"/>
        </w:rPr>
        <w:t>20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7A462C">
        <w:rPr>
          <w:b/>
          <w:bCs/>
          <w:sz w:val="22"/>
          <w:szCs w:val="22"/>
          <w:lang w:eastAsia="ar-SA"/>
        </w:rPr>
        <w:t>5</w:t>
      </w:r>
    </w:p>
    <w:p w14:paraId="44949E8C" w14:textId="34EA84AF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7005FE">
        <w:rPr>
          <w:sz w:val="22"/>
          <w:szCs w:val="22"/>
        </w:rPr>
        <w:t>05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7005FE">
        <w:rPr>
          <w:sz w:val="22"/>
          <w:szCs w:val="22"/>
        </w:rPr>
        <w:t>6</w:t>
      </w:r>
      <w:r w:rsidR="0041393E">
        <w:rPr>
          <w:sz w:val="22"/>
          <w:szCs w:val="22"/>
        </w:rPr>
        <w:t>.202</w:t>
      </w:r>
      <w:r w:rsidR="007A462C">
        <w:rPr>
          <w:sz w:val="22"/>
          <w:szCs w:val="22"/>
        </w:rPr>
        <w:t>5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6A196194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7005FE">
        <w:rPr>
          <w:b/>
          <w:sz w:val="22"/>
          <w:szCs w:val="22"/>
        </w:rPr>
        <w:t>5 i 7</w:t>
      </w:r>
    </w:p>
    <w:p w14:paraId="6BC96624" w14:textId="0A38230D" w:rsidR="007B1AEC" w:rsidRDefault="007B1AEC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CZĘŚCI </w:t>
      </w:r>
      <w:r w:rsidR="007005FE">
        <w:rPr>
          <w:b/>
          <w:sz w:val="22"/>
          <w:szCs w:val="22"/>
        </w:rPr>
        <w:t>1,2,3,4 i 6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13221BB5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7005FE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20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7005FE" w:rsidRPr="007005FE">
        <w:rPr>
          <w:rFonts w:asciiTheme="majorBidi" w:hAnsiTheme="majorBidi" w:cstheme="majorBidi"/>
          <w:i/>
          <w:sz w:val="22"/>
          <w:szCs w:val="22"/>
        </w:rPr>
        <w:t>Dostawa materiałów eksploatacyjnych do aparatury badawczej, sprzętu laboratoryjnego oraz drobnych części elektronicznych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4A3D57F1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7005FE"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0069C35F" w14:textId="77777777" w:rsidR="007005FE" w:rsidRPr="007005FE" w:rsidRDefault="007005FE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005FE">
        <w:rPr>
          <w:rFonts w:asciiTheme="majorBidi" w:hAnsiTheme="majorBidi" w:cstheme="majorBidi"/>
          <w:bCs/>
          <w:sz w:val="22"/>
          <w:szCs w:val="22"/>
        </w:rPr>
        <w:t>ZERO-RAD SPÓŁKA Z OGRANICZONĄ ODPOWIEDZIALNOŚCIĄ</w:t>
      </w:r>
    </w:p>
    <w:p w14:paraId="65B3B5DB" w14:textId="77777777" w:rsidR="007005FE" w:rsidRDefault="007005FE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005FE">
        <w:rPr>
          <w:rFonts w:asciiTheme="majorBidi" w:hAnsiTheme="majorBidi" w:cstheme="majorBidi"/>
          <w:bCs/>
          <w:sz w:val="22"/>
          <w:szCs w:val="22"/>
        </w:rPr>
        <w:t xml:space="preserve">Księcia Adama Jerzego Czartoryskiego 3/5, 42-200 Częstochowa </w:t>
      </w:r>
    </w:p>
    <w:p w14:paraId="12DCA8B6" w14:textId="21664D04" w:rsidR="00F07412" w:rsidRPr="006F41F2" w:rsidRDefault="00F07412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005FE">
        <w:rPr>
          <w:rFonts w:asciiTheme="majorBidi" w:hAnsiTheme="majorBidi" w:cstheme="majorBidi"/>
          <w:b/>
          <w:bCs/>
          <w:sz w:val="22"/>
          <w:szCs w:val="22"/>
          <w:u w:val="single"/>
        </w:rPr>
        <w:t>9200</w:t>
      </w:r>
      <w:r w:rsidR="00A13E17">
        <w:rPr>
          <w:rFonts w:asciiTheme="majorBidi" w:hAnsiTheme="majorBidi" w:cstheme="majorBidi"/>
          <w:b/>
          <w:bCs/>
          <w:sz w:val="22"/>
          <w:szCs w:val="22"/>
          <w:u w:val="single"/>
        </w:rPr>
        <w:t>,00</w:t>
      </w:r>
      <w:r w:rsidRPr="001F67D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brutto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2ED50A11" w14:textId="61DE625A" w:rsidR="00F07412" w:rsidRPr="004D66B0" w:rsidRDefault="00F07412" w:rsidP="004D66B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C7AF243" w14:textId="0B6D4904" w:rsidR="007005FE" w:rsidRPr="006F41F2" w:rsidRDefault="007005FE" w:rsidP="007005F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7</w:t>
      </w:r>
    </w:p>
    <w:p w14:paraId="314CF273" w14:textId="77777777" w:rsidR="007005FE" w:rsidRPr="007005FE" w:rsidRDefault="007005FE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005FE">
        <w:rPr>
          <w:rFonts w:asciiTheme="majorBidi" w:hAnsiTheme="majorBidi" w:cstheme="majorBidi"/>
          <w:bCs/>
          <w:sz w:val="22"/>
          <w:szCs w:val="22"/>
        </w:rPr>
        <w:t>part-AD Artur Dyrda</w:t>
      </w:r>
    </w:p>
    <w:p w14:paraId="7A8CF819" w14:textId="77777777" w:rsidR="007005FE" w:rsidRDefault="007005FE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005FE">
        <w:rPr>
          <w:rFonts w:asciiTheme="majorBidi" w:hAnsiTheme="majorBidi" w:cstheme="majorBidi"/>
          <w:bCs/>
          <w:sz w:val="22"/>
          <w:szCs w:val="22"/>
        </w:rPr>
        <w:t xml:space="preserve">Grzechynia 768, 34-220 Maków Podhalański </w:t>
      </w:r>
    </w:p>
    <w:p w14:paraId="7DC56F78" w14:textId="6D22A753" w:rsidR="007005FE" w:rsidRPr="006F41F2" w:rsidRDefault="007005FE" w:rsidP="007005F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1304,55</w:t>
      </w:r>
      <w:r w:rsidRPr="001F67D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brutto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1A525A30" w14:textId="77777777" w:rsidR="007005FE" w:rsidRPr="006F41F2" w:rsidRDefault="007005FE" w:rsidP="007005FE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645AA632" w14:textId="77777777" w:rsidR="007005FE" w:rsidRPr="006F41F2" w:rsidRDefault="007005FE" w:rsidP="007005F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04A6C64D" w14:textId="77777777" w:rsidR="007005FE" w:rsidRPr="006F41F2" w:rsidRDefault="007005FE" w:rsidP="007005FE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0D122E4D" w14:textId="77777777" w:rsidR="007005FE" w:rsidRPr="004D66B0" w:rsidRDefault="007005FE" w:rsidP="007005FE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0581502" w14:textId="1E1C66B2" w:rsidR="007005FE" w:rsidRPr="007005FE" w:rsidRDefault="007005FE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 w:rsidRPr="007005FE">
        <w:rPr>
          <w:rFonts w:asciiTheme="majorBidi" w:hAnsiTheme="majorBidi" w:cstheme="majorBidi"/>
          <w:bCs/>
          <w:sz w:val="22"/>
          <w:szCs w:val="22"/>
          <w:u w:val="single"/>
        </w:rPr>
        <w:t>Ponadto, Zamawiający unieważnia przedmiotowe post</w:t>
      </w:r>
      <w:r w:rsidR="00EB4136">
        <w:rPr>
          <w:rFonts w:asciiTheme="majorBidi" w:hAnsiTheme="majorBidi" w:cstheme="majorBidi"/>
          <w:bCs/>
          <w:sz w:val="22"/>
          <w:szCs w:val="22"/>
          <w:u w:val="single"/>
        </w:rPr>
        <w:t>ę</w:t>
      </w:r>
      <w:r w:rsidRPr="007005FE">
        <w:rPr>
          <w:rFonts w:asciiTheme="majorBidi" w:hAnsiTheme="majorBidi" w:cstheme="majorBidi"/>
          <w:bCs/>
          <w:sz w:val="22"/>
          <w:szCs w:val="22"/>
          <w:u w:val="single"/>
        </w:rPr>
        <w:t>powanie w poniższych częściach:</w:t>
      </w:r>
    </w:p>
    <w:p w14:paraId="0BF05C7F" w14:textId="77777777" w:rsidR="007005FE" w:rsidRDefault="007005FE" w:rsidP="007005F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96D7D43" w14:textId="1DD4E8B6" w:rsidR="007005FE" w:rsidRPr="006F41F2" w:rsidRDefault="007005FE" w:rsidP="007005F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786B6FF1" w14:textId="5191437F" w:rsidR="007005FE" w:rsidRDefault="007005FE" w:rsidP="007005FE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 z uwagi na fakt, że </w:t>
      </w:r>
      <w:r>
        <w:rPr>
          <w:rFonts w:asciiTheme="majorBidi" w:hAnsiTheme="majorBidi" w:cstheme="majorBidi"/>
          <w:sz w:val="22"/>
          <w:szCs w:val="22"/>
        </w:rPr>
        <w:t xml:space="preserve">nie została złożona żadna </w:t>
      </w:r>
      <w:r w:rsidRPr="003337EC">
        <w:rPr>
          <w:rFonts w:asciiTheme="majorBidi" w:hAnsiTheme="majorBidi" w:cstheme="majorBidi"/>
          <w:sz w:val="22"/>
          <w:szCs w:val="22"/>
        </w:rPr>
        <w:t>ofert</w:t>
      </w:r>
      <w:r>
        <w:rPr>
          <w:rFonts w:asciiTheme="majorBidi" w:hAnsiTheme="majorBidi" w:cstheme="majorBidi"/>
          <w:sz w:val="22"/>
          <w:szCs w:val="22"/>
        </w:rPr>
        <w:t>a niepodlegająca odrzuceniu.</w:t>
      </w:r>
      <w:r w:rsidRPr="003337EC">
        <w:rPr>
          <w:rFonts w:asciiTheme="majorBidi" w:hAnsiTheme="majorBidi" w:cstheme="majorBidi"/>
          <w:sz w:val="22"/>
          <w:szCs w:val="22"/>
        </w:rPr>
        <w:t xml:space="preserve"> </w:t>
      </w:r>
    </w:p>
    <w:p w14:paraId="1A5CE943" w14:textId="77777777" w:rsidR="007005FE" w:rsidRDefault="007005FE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F006E98" w14:textId="33062DFB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00E1DA52" w14:textId="0FBC8F2C" w:rsidR="00A13E17" w:rsidRDefault="00A13E17" w:rsidP="00E865CA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2 z uwagi na fakt, że </w:t>
      </w:r>
      <w:r>
        <w:rPr>
          <w:rFonts w:asciiTheme="majorBidi" w:hAnsiTheme="majorBidi" w:cstheme="majorBidi"/>
          <w:sz w:val="22"/>
          <w:szCs w:val="22"/>
        </w:rPr>
        <w:t xml:space="preserve">nie została złożona żadna </w:t>
      </w:r>
      <w:r w:rsidRPr="003337EC">
        <w:rPr>
          <w:rFonts w:asciiTheme="majorBidi" w:hAnsiTheme="majorBidi" w:cstheme="majorBidi"/>
          <w:sz w:val="22"/>
          <w:szCs w:val="22"/>
        </w:rPr>
        <w:t>ofert</w:t>
      </w:r>
      <w:r>
        <w:rPr>
          <w:rFonts w:asciiTheme="majorBidi" w:hAnsiTheme="majorBidi" w:cstheme="majorBidi"/>
          <w:sz w:val="22"/>
          <w:szCs w:val="22"/>
        </w:rPr>
        <w:t>a.</w:t>
      </w:r>
      <w:r w:rsidRPr="003337EC">
        <w:rPr>
          <w:rFonts w:asciiTheme="majorBidi" w:hAnsiTheme="majorBidi" w:cstheme="majorBidi"/>
          <w:sz w:val="22"/>
          <w:szCs w:val="22"/>
        </w:rPr>
        <w:t xml:space="preserve"> </w:t>
      </w:r>
    </w:p>
    <w:p w14:paraId="077C649E" w14:textId="77777777" w:rsidR="00A45A69" w:rsidRDefault="00A45A69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135D1E73" w14:textId="2510904B" w:rsidR="008F43AB" w:rsidRDefault="00A45A69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15E1D6D3" w14:textId="46C5A422" w:rsidR="00A45A69" w:rsidRDefault="00A45A69" w:rsidP="00A45A6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1 618,00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11C3EAD" w14:textId="139D5D06" w:rsidR="00A45A69" w:rsidRDefault="00A45A69" w:rsidP="00A45A6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D39DF39" w14:textId="0107ED4B" w:rsidR="00A45A69" w:rsidRDefault="00A45A69" w:rsidP="00A45A6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6035873D" w14:textId="3A96D066" w:rsidR="00A45A69" w:rsidRDefault="00A45A69" w:rsidP="00A45A6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4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7 749,00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0A7B461D" w14:textId="77777777" w:rsidR="00BE3C77" w:rsidRDefault="00BE3C77" w:rsidP="00BE3C77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C78B3B2" w14:textId="5124C3E0" w:rsidR="00BE3C77" w:rsidRPr="006F41F2" w:rsidRDefault="00BE3C77" w:rsidP="00BE3C77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4D928C4E" w14:textId="70D4A75F" w:rsidR="00BE3C77" w:rsidRDefault="00BE3C77" w:rsidP="00BE3C7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6 z uwagi na fakt, że </w:t>
      </w:r>
      <w:r>
        <w:rPr>
          <w:rFonts w:asciiTheme="majorBidi" w:hAnsiTheme="majorBidi" w:cstheme="majorBidi"/>
          <w:sz w:val="22"/>
          <w:szCs w:val="22"/>
        </w:rPr>
        <w:t xml:space="preserve">nie została złożona żadna </w:t>
      </w:r>
      <w:r w:rsidRPr="003337EC">
        <w:rPr>
          <w:rFonts w:asciiTheme="majorBidi" w:hAnsiTheme="majorBidi" w:cstheme="majorBidi"/>
          <w:sz w:val="22"/>
          <w:szCs w:val="22"/>
        </w:rPr>
        <w:t>ofert</w:t>
      </w:r>
      <w:r>
        <w:rPr>
          <w:rFonts w:asciiTheme="majorBidi" w:hAnsiTheme="majorBidi" w:cstheme="majorBidi"/>
          <w:sz w:val="22"/>
          <w:szCs w:val="22"/>
        </w:rPr>
        <w:t>a niepodlegająca odrzuceniu.</w:t>
      </w:r>
      <w:r w:rsidRPr="003337EC">
        <w:rPr>
          <w:rFonts w:asciiTheme="majorBidi" w:hAnsiTheme="majorBidi" w:cstheme="majorBidi"/>
          <w:sz w:val="22"/>
          <w:szCs w:val="22"/>
        </w:rPr>
        <w:t xml:space="preserve"> </w:t>
      </w:r>
    </w:p>
    <w:p w14:paraId="1706716B" w14:textId="77777777" w:rsidR="00A45A69" w:rsidRDefault="00A45A69" w:rsidP="00A45A69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7B2138EA" w14:textId="77777777" w:rsidR="007005FE" w:rsidRDefault="007005FE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3FA6C2C3" w14:textId="77777777" w:rsidR="008F43AB" w:rsidRDefault="008F43AB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83294C">
        <w:tc>
          <w:tcPr>
            <w:tcW w:w="988" w:type="dxa"/>
            <w:vAlign w:val="center"/>
          </w:tcPr>
          <w:p w14:paraId="7B8FE9DB" w14:textId="4E40C97F" w:rsidR="0083294C" w:rsidRPr="006C4A87" w:rsidRDefault="00491477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56EF80A4" w14:textId="76760E89" w:rsidR="00B4022A" w:rsidRPr="008B1EA8" w:rsidRDefault="00B4022A" w:rsidP="00E90D10">
            <w:pPr>
              <w:rPr>
                <w:bCs/>
                <w:sz w:val="22"/>
                <w:szCs w:val="22"/>
              </w:rPr>
            </w:pPr>
            <w:r w:rsidRPr="008B1EA8">
              <w:rPr>
                <w:bCs/>
                <w:sz w:val="22"/>
                <w:szCs w:val="22"/>
              </w:rPr>
              <w:t>Przedsiębiorstwo Techniczno-Handlowe "Chemland" Mariusz Bartczak</w:t>
            </w:r>
          </w:p>
          <w:p w14:paraId="5A9D3852" w14:textId="095ADA48" w:rsidR="0083294C" w:rsidRPr="006C4A87" w:rsidRDefault="00B4022A" w:rsidP="00E90D10">
            <w:pPr>
              <w:rPr>
                <w:b/>
                <w:sz w:val="22"/>
                <w:szCs w:val="22"/>
              </w:rPr>
            </w:pPr>
            <w:r w:rsidRPr="008B1EA8">
              <w:rPr>
                <w:bCs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29BFD572" w14:textId="409E3BAF" w:rsidR="0083294C" w:rsidRPr="006C4A87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A87"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755826" w:rsidRPr="005254DA" w14:paraId="710B1E9A" w14:textId="77777777" w:rsidTr="00060242">
        <w:tc>
          <w:tcPr>
            <w:tcW w:w="988" w:type="dxa"/>
            <w:vAlign w:val="center"/>
          </w:tcPr>
          <w:p w14:paraId="67CA866B" w14:textId="6E3ECD2E" w:rsidR="00755826" w:rsidRPr="006C4A87" w:rsidRDefault="00491477" w:rsidP="007558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</w:tcPr>
          <w:p w14:paraId="5CDC8F15" w14:textId="77777777" w:rsidR="00755826" w:rsidRPr="006C4A87" w:rsidRDefault="00755826" w:rsidP="0075582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6C4A87">
              <w:rPr>
                <w:color w:val="000000"/>
                <w:sz w:val="22"/>
                <w:szCs w:val="22"/>
              </w:rPr>
              <w:t>Th.Geyer Polska Sp.z o.o.</w:t>
            </w:r>
          </w:p>
          <w:p w14:paraId="5F93B3C6" w14:textId="1469F970" w:rsidR="00755826" w:rsidRPr="006C4A87" w:rsidRDefault="00755826" w:rsidP="0075582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4A87">
              <w:rPr>
                <w:color w:val="000000"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4064AB44" w14:textId="71767D2F" w:rsidR="00755826" w:rsidRPr="006C4A87" w:rsidRDefault="00491477" w:rsidP="0075582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755826" w:rsidRPr="005254DA" w14:paraId="4B3BDC1C" w14:textId="77777777" w:rsidTr="00060242">
        <w:tc>
          <w:tcPr>
            <w:tcW w:w="988" w:type="dxa"/>
            <w:vAlign w:val="center"/>
          </w:tcPr>
          <w:p w14:paraId="1F4D524F" w14:textId="409F9D28" w:rsidR="00755826" w:rsidRPr="006C4A87" w:rsidRDefault="00491477" w:rsidP="0075582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</w:tcPr>
          <w:p w14:paraId="566960BB" w14:textId="77777777" w:rsidR="00491477" w:rsidRPr="00491477" w:rsidRDefault="00491477" w:rsidP="004914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1477">
              <w:rPr>
                <w:color w:val="000000"/>
                <w:sz w:val="22"/>
                <w:szCs w:val="22"/>
              </w:rPr>
              <w:t>ZERO-RAD SPÓŁKA Z OGRANICZONĄ ODPOWIEDZIALNOŚCIĄ</w:t>
            </w:r>
          </w:p>
          <w:p w14:paraId="745B5658" w14:textId="23B0C698" w:rsidR="00755826" w:rsidRPr="006C4A87" w:rsidRDefault="00491477" w:rsidP="004914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1477">
              <w:rPr>
                <w:color w:val="000000"/>
                <w:sz w:val="22"/>
                <w:szCs w:val="22"/>
              </w:rPr>
              <w:t>Księcia Adama Jerzego Czartoryskiego 3/5, 42-200 Częstochowa</w:t>
            </w:r>
          </w:p>
        </w:tc>
        <w:tc>
          <w:tcPr>
            <w:tcW w:w="1701" w:type="dxa"/>
          </w:tcPr>
          <w:p w14:paraId="6F0C7044" w14:textId="31D5931C" w:rsidR="00755826" w:rsidRPr="006C4A87" w:rsidRDefault="00491477" w:rsidP="0075582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E90D10" w:rsidRPr="005254DA" w14:paraId="05125D21" w14:textId="77777777" w:rsidTr="003E5FE7">
        <w:tc>
          <w:tcPr>
            <w:tcW w:w="988" w:type="dxa"/>
            <w:vAlign w:val="center"/>
          </w:tcPr>
          <w:p w14:paraId="7EAA401A" w14:textId="7EF1F162" w:rsidR="00E90D10" w:rsidRPr="006C4A87" w:rsidRDefault="00491477" w:rsidP="004D66B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</w:tcPr>
          <w:p w14:paraId="62943F10" w14:textId="77777777" w:rsidR="00491477" w:rsidRPr="00491477" w:rsidRDefault="00491477" w:rsidP="004914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1477">
              <w:rPr>
                <w:rFonts w:eastAsia="Calibri"/>
                <w:bCs/>
                <w:sz w:val="22"/>
                <w:szCs w:val="22"/>
                <w:lang w:eastAsia="en-US"/>
              </w:rPr>
              <w:t>part-AD Artur Dyrda</w:t>
            </w:r>
          </w:p>
          <w:p w14:paraId="646A2D10" w14:textId="6C442678" w:rsidR="00E90D10" w:rsidRPr="006C4A87" w:rsidRDefault="00491477" w:rsidP="004914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1477">
              <w:rPr>
                <w:rFonts w:eastAsia="Calibri"/>
                <w:bCs/>
                <w:sz w:val="22"/>
                <w:szCs w:val="22"/>
                <w:lang w:eastAsia="en-US"/>
              </w:rPr>
              <w:t>Grzechynia 768, 34-220 Maków Podhalański</w:t>
            </w:r>
          </w:p>
        </w:tc>
        <w:tc>
          <w:tcPr>
            <w:tcW w:w="1701" w:type="dxa"/>
          </w:tcPr>
          <w:p w14:paraId="584FB652" w14:textId="3B2839F3" w:rsidR="00E90D10" w:rsidRPr="006C4A87" w:rsidRDefault="00491477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3ACE3FA7" w14:textId="21FEDC55" w:rsidR="001A30AF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2F823054" w14:textId="77777777" w:rsidR="009540A5" w:rsidRPr="009540A5" w:rsidRDefault="009540A5" w:rsidP="009540A5">
      <w:pPr>
        <w:spacing w:after="200" w:line="276" w:lineRule="auto"/>
        <w:rPr>
          <w:rFonts w:eastAsiaTheme="minorHAnsi"/>
          <w:b/>
          <w:bCs/>
          <w:iCs/>
          <w:sz w:val="22"/>
          <w:szCs w:val="22"/>
          <w:u w:val="single"/>
          <w:lang w:eastAsia="en-US"/>
        </w:rPr>
      </w:pPr>
      <w:r w:rsidRPr="009540A5">
        <w:rPr>
          <w:rFonts w:eastAsiaTheme="minorHAnsi"/>
          <w:b/>
          <w:bCs/>
          <w:iCs/>
          <w:sz w:val="22"/>
          <w:szCs w:val="22"/>
          <w:u w:val="single"/>
          <w:lang w:eastAsia="en-US"/>
        </w:rPr>
        <w:t>Ponadto, Zamawiający dokonał następujących czynności w postępowaniu:</w:t>
      </w:r>
    </w:p>
    <w:p w14:paraId="3084DE2F" w14:textId="1E858084" w:rsidR="009540A5" w:rsidRPr="009540A5" w:rsidRDefault="009540A5" w:rsidP="00904909">
      <w:pPr>
        <w:tabs>
          <w:tab w:val="left" w:pos="284"/>
        </w:tabs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9540A5">
        <w:rPr>
          <w:rFonts w:eastAsiaTheme="minorHAnsi"/>
          <w:iCs/>
          <w:sz w:val="22"/>
          <w:szCs w:val="22"/>
          <w:lang w:eastAsia="en-US"/>
        </w:rPr>
        <w:t>1.</w:t>
      </w:r>
      <w:r w:rsidRPr="009540A5">
        <w:rPr>
          <w:rFonts w:eastAsiaTheme="minorHAnsi"/>
          <w:iCs/>
          <w:sz w:val="22"/>
          <w:szCs w:val="22"/>
          <w:lang w:eastAsia="en-US"/>
        </w:rPr>
        <w:tab/>
        <w:t xml:space="preserve">   Zamawiający odrzucił </w:t>
      </w:r>
      <w:r w:rsidR="00852E6D">
        <w:rPr>
          <w:rFonts w:eastAsiaTheme="minorHAnsi"/>
          <w:iCs/>
          <w:sz w:val="22"/>
          <w:szCs w:val="22"/>
          <w:lang w:eastAsia="en-US"/>
        </w:rPr>
        <w:t xml:space="preserve">w części </w:t>
      </w:r>
      <w:r w:rsidR="009925BD">
        <w:rPr>
          <w:rFonts w:eastAsiaTheme="minorHAnsi"/>
          <w:iCs/>
          <w:sz w:val="22"/>
          <w:szCs w:val="22"/>
          <w:lang w:eastAsia="en-US"/>
        </w:rPr>
        <w:t>1 i 7</w:t>
      </w:r>
      <w:r w:rsidR="00852E6D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ofertę firmy </w:t>
      </w:r>
      <w:r w:rsidR="009925BD" w:rsidRPr="009925BD">
        <w:rPr>
          <w:rFonts w:eastAsiaTheme="minorHAnsi"/>
          <w:iCs/>
          <w:sz w:val="22"/>
          <w:szCs w:val="22"/>
          <w:lang w:eastAsia="en-US"/>
        </w:rPr>
        <w:t>Atlas-Sollich Zakład Systemów Elektronicznych, Andrzej Sollich</w:t>
      </w:r>
      <w:r w:rsidR="009925BD">
        <w:rPr>
          <w:rFonts w:eastAsiaTheme="minorHAnsi"/>
          <w:iCs/>
          <w:sz w:val="22"/>
          <w:szCs w:val="22"/>
          <w:lang w:eastAsia="en-US"/>
        </w:rPr>
        <w:t>, u</w:t>
      </w:r>
      <w:r w:rsidR="009925BD" w:rsidRPr="009925BD">
        <w:rPr>
          <w:rFonts w:eastAsiaTheme="minorHAnsi"/>
          <w:iCs/>
          <w:sz w:val="22"/>
          <w:szCs w:val="22"/>
          <w:lang w:eastAsia="en-US"/>
        </w:rPr>
        <w:t>l. Złota 9, 80-297 Rębiechowo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z uwagi na niezgodność treści oferty z treścią </w:t>
      </w:r>
      <w:r w:rsidR="006C4A87">
        <w:rPr>
          <w:rFonts w:eastAsiaTheme="minorHAnsi"/>
          <w:iCs/>
          <w:sz w:val="22"/>
          <w:szCs w:val="22"/>
          <w:lang w:eastAsia="en-US"/>
        </w:rPr>
        <w:t>Z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apytania ofertowego. </w:t>
      </w:r>
    </w:p>
    <w:p w14:paraId="744C787A" w14:textId="491211A4" w:rsidR="009540A5" w:rsidRPr="009540A5" w:rsidRDefault="009540A5" w:rsidP="006C4A87">
      <w:pPr>
        <w:tabs>
          <w:tab w:val="left" w:pos="426"/>
        </w:tabs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9540A5">
        <w:rPr>
          <w:rFonts w:eastAsiaTheme="minorHAnsi"/>
          <w:iCs/>
          <w:sz w:val="22"/>
          <w:szCs w:val="22"/>
          <w:lang w:eastAsia="en-US"/>
        </w:rPr>
        <w:tab/>
        <w:t xml:space="preserve">Zgodnie z pkt  10.1 </w:t>
      </w:r>
      <w:r w:rsidR="006C4A87">
        <w:rPr>
          <w:rFonts w:eastAsiaTheme="minorHAnsi"/>
          <w:iCs/>
          <w:sz w:val="22"/>
          <w:szCs w:val="22"/>
          <w:lang w:eastAsia="en-US"/>
        </w:rPr>
        <w:t>Z</w:t>
      </w:r>
      <w:r w:rsidRPr="009540A5">
        <w:rPr>
          <w:rFonts w:eastAsiaTheme="minorHAnsi"/>
          <w:iCs/>
          <w:sz w:val="22"/>
          <w:szCs w:val="22"/>
          <w:lang w:eastAsia="en-US"/>
        </w:rPr>
        <w:t>apytania ofertowego ofertę należ</w:t>
      </w:r>
      <w:r w:rsidR="006C4A87">
        <w:rPr>
          <w:rFonts w:eastAsiaTheme="minorHAnsi"/>
          <w:iCs/>
          <w:sz w:val="22"/>
          <w:szCs w:val="22"/>
          <w:lang w:eastAsia="en-US"/>
        </w:rPr>
        <w:t>ało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 przedstawić na załączonym do </w:t>
      </w:r>
      <w:r w:rsidR="00852E6D">
        <w:rPr>
          <w:rFonts w:eastAsiaTheme="minorHAnsi"/>
          <w:iCs/>
          <w:sz w:val="22"/>
          <w:szCs w:val="22"/>
          <w:lang w:eastAsia="en-US"/>
        </w:rPr>
        <w:t>Z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apytania Ofertowego Formularzu cenowym, stanowiącym załącznik nr 2 do </w:t>
      </w:r>
      <w:r w:rsidR="00852E6D">
        <w:rPr>
          <w:rFonts w:eastAsiaTheme="minorHAnsi"/>
          <w:iCs/>
          <w:sz w:val="22"/>
          <w:szCs w:val="22"/>
          <w:lang w:eastAsia="en-US"/>
        </w:rPr>
        <w:t>Z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apytania ofertowego. </w:t>
      </w:r>
      <w:r w:rsidR="009925BD">
        <w:rPr>
          <w:rFonts w:eastAsiaTheme="minorHAnsi"/>
          <w:iCs/>
          <w:sz w:val="22"/>
          <w:szCs w:val="22"/>
          <w:lang w:eastAsia="en-US"/>
        </w:rPr>
        <w:t xml:space="preserve">Wykonawca w złożonym Formularzu cenowym nie podał producenta, nazwy i numeru katalogowego oferowanego produktu. </w:t>
      </w:r>
      <w:r w:rsidR="00B25F55">
        <w:rPr>
          <w:rFonts w:eastAsiaTheme="minorHAnsi"/>
          <w:iCs/>
          <w:sz w:val="22"/>
          <w:szCs w:val="22"/>
          <w:lang w:eastAsia="en-US"/>
        </w:rPr>
        <w:t xml:space="preserve">Zamawiający nie ma zatem możliwości </w:t>
      </w:r>
      <w:r w:rsidR="00B25F55" w:rsidRPr="00B25F55">
        <w:rPr>
          <w:rFonts w:eastAsiaTheme="minorHAnsi"/>
          <w:iCs/>
          <w:sz w:val="22"/>
          <w:szCs w:val="22"/>
          <w:lang w:eastAsia="en-US"/>
        </w:rPr>
        <w:t>sprawdzenia, czy oferowany przedmiot zamówienia spełnia wymogi</w:t>
      </w:r>
      <w:r w:rsidR="009925BD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B25F55">
        <w:rPr>
          <w:rFonts w:eastAsiaTheme="minorHAnsi"/>
          <w:iCs/>
          <w:sz w:val="22"/>
          <w:szCs w:val="22"/>
          <w:lang w:eastAsia="en-US"/>
        </w:rPr>
        <w:t xml:space="preserve">Zamawiającego. </w:t>
      </w:r>
      <w:r w:rsidR="00B25F55" w:rsidRPr="00B25F55">
        <w:rPr>
          <w:rFonts w:eastAsiaTheme="minorHAnsi"/>
          <w:iCs/>
          <w:sz w:val="22"/>
          <w:szCs w:val="22"/>
          <w:lang w:eastAsia="en-US"/>
        </w:rPr>
        <w:t xml:space="preserve">Wypełniony przez wykonawcę </w:t>
      </w:r>
      <w:r w:rsidR="00B25F55">
        <w:rPr>
          <w:rFonts w:eastAsiaTheme="minorHAnsi"/>
          <w:iCs/>
          <w:sz w:val="22"/>
          <w:szCs w:val="22"/>
          <w:lang w:eastAsia="en-US"/>
        </w:rPr>
        <w:t>F</w:t>
      </w:r>
      <w:r w:rsidR="00B25F55" w:rsidRPr="00B25F55">
        <w:rPr>
          <w:rFonts w:eastAsiaTheme="minorHAnsi"/>
          <w:iCs/>
          <w:sz w:val="22"/>
          <w:szCs w:val="22"/>
          <w:lang w:eastAsia="en-US"/>
        </w:rPr>
        <w:t>ormularz cenowy zawiera jego oświadczenie woli co do oferowanych przez niego produktów. Tym samym stanowi treść jego oferty.</w:t>
      </w:r>
    </w:p>
    <w:p w14:paraId="34CDA141" w14:textId="60C1FD64" w:rsidR="006C4A87" w:rsidRDefault="00B25F55" w:rsidP="006C4A87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F</w:t>
      </w:r>
      <w:r w:rsidRPr="00B25F55">
        <w:rPr>
          <w:rFonts w:eastAsiaTheme="minorHAnsi"/>
          <w:iCs/>
          <w:sz w:val="22"/>
          <w:szCs w:val="22"/>
          <w:lang w:eastAsia="en-US"/>
        </w:rPr>
        <w:t>ormularz cenowy zawierający zindywidualizowanie oferowan</w:t>
      </w:r>
      <w:r w:rsidR="00904909">
        <w:rPr>
          <w:rFonts w:eastAsiaTheme="minorHAnsi"/>
          <w:iCs/>
          <w:sz w:val="22"/>
          <w:szCs w:val="22"/>
          <w:lang w:eastAsia="en-US"/>
        </w:rPr>
        <w:t>ego</w:t>
      </w:r>
      <w:r w:rsidRPr="00B25F55">
        <w:rPr>
          <w:rFonts w:eastAsiaTheme="minorHAnsi"/>
          <w:iCs/>
          <w:sz w:val="22"/>
          <w:szCs w:val="22"/>
          <w:lang w:eastAsia="en-US"/>
        </w:rPr>
        <w:t xml:space="preserve"> produk</w:t>
      </w:r>
      <w:r w:rsidR="00904909">
        <w:rPr>
          <w:rFonts w:eastAsiaTheme="minorHAnsi"/>
          <w:iCs/>
          <w:sz w:val="22"/>
          <w:szCs w:val="22"/>
          <w:lang w:eastAsia="en-US"/>
        </w:rPr>
        <w:t>tu</w:t>
      </w:r>
      <w:r w:rsidRPr="00B25F55">
        <w:rPr>
          <w:rFonts w:eastAsiaTheme="minorHAnsi"/>
          <w:iCs/>
          <w:sz w:val="22"/>
          <w:szCs w:val="22"/>
          <w:lang w:eastAsia="en-US"/>
        </w:rPr>
        <w:t xml:space="preserve"> stanowi merytoryczną treść złożonej przez </w:t>
      </w:r>
      <w:r w:rsidR="00904909">
        <w:rPr>
          <w:rFonts w:eastAsiaTheme="minorHAnsi"/>
          <w:iCs/>
          <w:sz w:val="22"/>
          <w:szCs w:val="22"/>
          <w:lang w:eastAsia="en-US"/>
        </w:rPr>
        <w:t>W</w:t>
      </w:r>
      <w:r w:rsidRPr="00B25F55">
        <w:rPr>
          <w:rFonts w:eastAsiaTheme="minorHAnsi"/>
          <w:iCs/>
          <w:sz w:val="22"/>
          <w:szCs w:val="22"/>
          <w:lang w:eastAsia="en-US"/>
        </w:rPr>
        <w:t>ykonawcę oferty</w:t>
      </w:r>
      <w:r w:rsidR="00904909">
        <w:rPr>
          <w:rFonts w:eastAsiaTheme="minorHAnsi"/>
          <w:iCs/>
          <w:sz w:val="22"/>
          <w:szCs w:val="22"/>
          <w:lang w:eastAsia="en-US"/>
        </w:rPr>
        <w:t xml:space="preserve"> i nie podlega uzupełnieniu.</w:t>
      </w:r>
    </w:p>
    <w:p w14:paraId="59603C3A" w14:textId="5BF368AA" w:rsidR="009540A5" w:rsidRDefault="009540A5" w:rsidP="006C4A87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666E75AA" w14:textId="769AEE0B" w:rsidR="009540A5" w:rsidRPr="009540A5" w:rsidRDefault="009540A5" w:rsidP="00661644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Zamawiający odrzucił w części </w:t>
      </w:r>
      <w:r w:rsidR="00661644">
        <w:rPr>
          <w:rFonts w:eastAsiaTheme="minorHAnsi"/>
          <w:iCs/>
          <w:sz w:val="22"/>
          <w:szCs w:val="22"/>
          <w:lang w:eastAsia="en-US"/>
        </w:rPr>
        <w:t>6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 ofertę firmy </w:t>
      </w:r>
      <w:r w:rsidR="00661644" w:rsidRPr="00661644">
        <w:rPr>
          <w:rFonts w:eastAsiaTheme="minorHAnsi"/>
          <w:iCs/>
          <w:sz w:val="22"/>
          <w:szCs w:val="22"/>
          <w:lang w:eastAsia="en-US"/>
        </w:rPr>
        <w:t>OmniControl Sp. z o. o.</w:t>
      </w:r>
      <w:r w:rsidR="00661644">
        <w:rPr>
          <w:rFonts w:eastAsiaTheme="minorHAnsi"/>
          <w:iCs/>
          <w:sz w:val="22"/>
          <w:szCs w:val="22"/>
          <w:lang w:eastAsia="en-US"/>
        </w:rPr>
        <w:t xml:space="preserve">, </w:t>
      </w:r>
      <w:r w:rsidR="00661644" w:rsidRPr="00661644">
        <w:rPr>
          <w:rFonts w:eastAsiaTheme="minorHAnsi"/>
          <w:iCs/>
          <w:sz w:val="22"/>
          <w:szCs w:val="22"/>
          <w:lang w:eastAsia="en-US"/>
        </w:rPr>
        <w:t>ul. Rynek 10 62-300 Września</w:t>
      </w:r>
      <w:r w:rsidRPr="009540A5">
        <w:rPr>
          <w:rFonts w:eastAsiaTheme="minorHAnsi"/>
          <w:iCs/>
          <w:sz w:val="22"/>
          <w:szCs w:val="22"/>
          <w:lang w:eastAsia="en-US"/>
        </w:rPr>
        <w:t xml:space="preserve"> z uwagi na 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 xml:space="preserve">niezgodność treści oferty z treścią </w:t>
      </w:r>
      <w:r w:rsidR="00661644">
        <w:rPr>
          <w:rFonts w:eastAsiaTheme="minorHAnsi"/>
          <w:iCs/>
          <w:sz w:val="22"/>
          <w:szCs w:val="22"/>
          <w:lang w:eastAsia="en-US"/>
        </w:rPr>
        <w:t>Z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>apytania ofertowego</w:t>
      </w:r>
      <w:r w:rsidRPr="009540A5">
        <w:rPr>
          <w:rFonts w:eastAsiaTheme="minorHAnsi"/>
          <w:iCs/>
          <w:sz w:val="22"/>
          <w:szCs w:val="22"/>
          <w:lang w:eastAsia="en-US"/>
        </w:rPr>
        <w:t>.</w:t>
      </w:r>
    </w:p>
    <w:p w14:paraId="101581CB" w14:textId="77777777" w:rsidR="00661644" w:rsidRPr="009540A5" w:rsidRDefault="009540A5" w:rsidP="00661644">
      <w:pPr>
        <w:tabs>
          <w:tab w:val="left" w:pos="426"/>
        </w:tabs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9540A5">
        <w:rPr>
          <w:rFonts w:eastAsiaTheme="minorHAnsi"/>
          <w:iCs/>
          <w:sz w:val="22"/>
          <w:szCs w:val="22"/>
          <w:lang w:eastAsia="en-US"/>
        </w:rPr>
        <w:tab/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 xml:space="preserve">Zgodnie z pkt  10.1 </w:t>
      </w:r>
      <w:r w:rsidR="00661644">
        <w:rPr>
          <w:rFonts w:eastAsiaTheme="minorHAnsi"/>
          <w:iCs/>
          <w:sz w:val="22"/>
          <w:szCs w:val="22"/>
          <w:lang w:eastAsia="en-US"/>
        </w:rPr>
        <w:t>Z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>apytania ofertowego ofertę należ</w:t>
      </w:r>
      <w:r w:rsidR="00661644">
        <w:rPr>
          <w:rFonts w:eastAsiaTheme="minorHAnsi"/>
          <w:iCs/>
          <w:sz w:val="22"/>
          <w:szCs w:val="22"/>
          <w:lang w:eastAsia="en-US"/>
        </w:rPr>
        <w:t>ało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 xml:space="preserve"> przedstawić na załączonym do </w:t>
      </w:r>
      <w:r w:rsidR="00661644">
        <w:rPr>
          <w:rFonts w:eastAsiaTheme="minorHAnsi"/>
          <w:iCs/>
          <w:sz w:val="22"/>
          <w:szCs w:val="22"/>
          <w:lang w:eastAsia="en-US"/>
        </w:rPr>
        <w:t>Z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 xml:space="preserve">apytania Ofertowego Formularzu cenowym, stanowiącym załącznik nr 2 do </w:t>
      </w:r>
      <w:r w:rsidR="00661644">
        <w:rPr>
          <w:rFonts w:eastAsiaTheme="minorHAnsi"/>
          <w:iCs/>
          <w:sz w:val="22"/>
          <w:szCs w:val="22"/>
          <w:lang w:eastAsia="en-US"/>
        </w:rPr>
        <w:t>Z</w:t>
      </w:r>
      <w:r w:rsidR="00661644" w:rsidRPr="009540A5">
        <w:rPr>
          <w:rFonts w:eastAsiaTheme="minorHAnsi"/>
          <w:iCs/>
          <w:sz w:val="22"/>
          <w:szCs w:val="22"/>
          <w:lang w:eastAsia="en-US"/>
        </w:rPr>
        <w:t xml:space="preserve">apytania ofertowego. </w:t>
      </w:r>
      <w:r w:rsidR="00661644">
        <w:rPr>
          <w:rFonts w:eastAsiaTheme="minorHAnsi"/>
          <w:iCs/>
          <w:sz w:val="22"/>
          <w:szCs w:val="22"/>
          <w:lang w:eastAsia="en-US"/>
        </w:rPr>
        <w:t xml:space="preserve">Wykonawca w złożonym Formularzu cenowym nie podał producenta, nazwy i numeru katalogowego oferowanego produktu. Zamawiający nie ma zatem możliwości </w:t>
      </w:r>
      <w:r w:rsidR="00661644" w:rsidRPr="00B25F55">
        <w:rPr>
          <w:rFonts w:eastAsiaTheme="minorHAnsi"/>
          <w:iCs/>
          <w:sz w:val="22"/>
          <w:szCs w:val="22"/>
          <w:lang w:eastAsia="en-US"/>
        </w:rPr>
        <w:t>sprawdzenia, czy oferowany przedmiot zamówienia spełnia wymogi</w:t>
      </w:r>
      <w:r w:rsidR="00661644">
        <w:rPr>
          <w:rFonts w:eastAsiaTheme="minorHAnsi"/>
          <w:iCs/>
          <w:sz w:val="22"/>
          <w:szCs w:val="22"/>
          <w:lang w:eastAsia="en-US"/>
        </w:rPr>
        <w:t xml:space="preserve"> Zamawiającego. </w:t>
      </w:r>
      <w:r w:rsidR="00661644" w:rsidRPr="00B25F55">
        <w:rPr>
          <w:rFonts w:eastAsiaTheme="minorHAnsi"/>
          <w:iCs/>
          <w:sz w:val="22"/>
          <w:szCs w:val="22"/>
          <w:lang w:eastAsia="en-US"/>
        </w:rPr>
        <w:t xml:space="preserve">Wypełniony przez wykonawcę </w:t>
      </w:r>
      <w:r w:rsidR="00661644">
        <w:rPr>
          <w:rFonts w:eastAsiaTheme="minorHAnsi"/>
          <w:iCs/>
          <w:sz w:val="22"/>
          <w:szCs w:val="22"/>
          <w:lang w:eastAsia="en-US"/>
        </w:rPr>
        <w:t>F</w:t>
      </w:r>
      <w:r w:rsidR="00661644" w:rsidRPr="00B25F55">
        <w:rPr>
          <w:rFonts w:eastAsiaTheme="minorHAnsi"/>
          <w:iCs/>
          <w:sz w:val="22"/>
          <w:szCs w:val="22"/>
          <w:lang w:eastAsia="en-US"/>
        </w:rPr>
        <w:t>ormularz cenowy zawiera jego oświadczenie woli co do oferowanych przez niego produktów. Tym samym stanowi treść jego oferty.</w:t>
      </w:r>
    </w:p>
    <w:p w14:paraId="24210AE9" w14:textId="2BD90ED6" w:rsidR="00661644" w:rsidRDefault="00661644" w:rsidP="00661644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F</w:t>
      </w:r>
      <w:r w:rsidRPr="00B25F55">
        <w:rPr>
          <w:rFonts w:eastAsiaTheme="minorHAnsi"/>
          <w:iCs/>
          <w:sz w:val="22"/>
          <w:szCs w:val="22"/>
          <w:lang w:eastAsia="en-US"/>
        </w:rPr>
        <w:t>ormularz cenowy zawierający zindywidualizowanie oferowan</w:t>
      </w:r>
      <w:r>
        <w:rPr>
          <w:rFonts w:eastAsiaTheme="minorHAnsi"/>
          <w:iCs/>
          <w:sz w:val="22"/>
          <w:szCs w:val="22"/>
          <w:lang w:eastAsia="en-US"/>
        </w:rPr>
        <w:t>ego</w:t>
      </w:r>
      <w:r w:rsidRPr="00B25F55">
        <w:rPr>
          <w:rFonts w:eastAsiaTheme="minorHAnsi"/>
          <w:iCs/>
          <w:sz w:val="22"/>
          <w:szCs w:val="22"/>
          <w:lang w:eastAsia="en-US"/>
        </w:rPr>
        <w:t xml:space="preserve"> produk</w:t>
      </w:r>
      <w:r>
        <w:rPr>
          <w:rFonts w:eastAsiaTheme="minorHAnsi"/>
          <w:iCs/>
          <w:sz w:val="22"/>
          <w:szCs w:val="22"/>
          <w:lang w:eastAsia="en-US"/>
        </w:rPr>
        <w:t>tu</w:t>
      </w:r>
      <w:r w:rsidRPr="00B25F55">
        <w:rPr>
          <w:rFonts w:eastAsiaTheme="minorHAnsi"/>
          <w:iCs/>
          <w:sz w:val="22"/>
          <w:szCs w:val="22"/>
          <w:lang w:eastAsia="en-US"/>
        </w:rPr>
        <w:t xml:space="preserve"> stanowi merytoryczną treść złożonej przez </w:t>
      </w:r>
      <w:r>
        <w:rPr>
          <w:rFonts w:eastAsiaTheme="minorHAnsi"/>
          <w:iCs/>
          <w:sz w:val="22"/>
          <w:szCs w:val="22"/>
          <w:lang w:eastAsia="en-US"/>
        </w:rPr>
        <w:t>W</w:t>
      </w:r>
      <w:r w:rsidRPr="00B25F55">
        <w:rPr>
          <w:rFonts w:eastAsiaTheme="minorHAnsi"/>
          <w:iCs/>
          <w:sz w:val="22"/>
          <w:szCs w:val="22"/>
          <w:lang w:eastAsia="en-US"/>
        </w:rPr>
        <w:t>ykonawcę oferty</w:t>
      </w:r>
      <w:r>
        <w:rPr>
          <w:rFonts w:eastAsiaTheme="minorHAnsi"/>
          <w:iCs/>
          <w:sz w:val="22"/>
          <w:szCs w:val="22"/>
          <w:lang w:eastAsia="en-US"/>
        </w:rPr>
        <w:t xml:space="preserve"> i nie podlega uzupełnieniu.</w:t>
      </w:r>
    </w:p>
    <w:p w14:paraId="411AF7FE" w14:textId="20CBE2BD" w:rsidR="00661644" w:rsidRDefault="00661644" w:rsidP="00661644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lastRenderedPageBreak/>
        <w:tab/>
        <w:t xml:space="preserve">Ponadto, zgodnie z pkt. 10.9 Zapytania ofertowego oferta powinna zostać </w:t>
      </w:r>
      <w:r w:rsidRPr="00661644">
        <w:rPr>
          <w:rFonts w:eastAsiaTheme="minorHAnsi"/>
          <w:iCs/>
          <w:sz w:val="22"/>
          <w:szCs w:val="22"/>
          <w:lang w:eastAsia="en-US"/>
        </w:rPr>
        <w:t>opatrzona kwalifikowanym podpisem elektronicznym, podpisem zaufanym lub  podpisem osobistym lub</w:t>
      </w: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661644">
        <w:rPr>
          <w:rFonts w:eastAsiaTheme="minorHAnsi"/>
          <w:iCs/>
          <w:sz w:val="22"/>
          <w:szCs w:val="22"/>
          <w:lang w:eastAsia="en-US"/>
        </w:rPr>
        <w:t>podpisana własnoręcznie i zeskanowana.</w:t>
      </w:r>
      <w:r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48C62754" w14:textId="5ECCFB94" w:rsidR="00661644" w:rsidRDefault="00661644" w:rsidP="00661644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ab/>
        <w:t xml:space="preserve">Wykonawca </w:t>
      </w:r>
      <w:r w:rsidR="006A4F74">
        <w:rPr>
          <w:rFonts w:eastAsiaTheme="minorHAnsi"/>
          <w:iCs/>
          <w:sz w:val="22"/>
          <w:szCs w:val="22"/>
          <w:lang w:eastAsia="en-US"/>
        </w:rPr>
        <w:t xml:space="preserve">złożył nie podpisaną ofertę. </w:t>
      </w:r>
      <w:r w:rsidR="006E2804" w:rsidRPr="006E2804">
        <w:rPr>
          <w:rFonts w:eastAsiaTheme="minorHAnsi"/>
          <w:iCs/>
          <w:sz w:val="22"/>
          <w:szCs w:val="22"/>
          <w:lang w:eastAsia="en-US"/>
        </w:rPr>
        <w:t>Oświadczenie woli, jaką jest oferta wymaga dla swej ważności podpisu. Brak podpisu pod treścią oferty skutkuje tym, że oferta jest nieważna.</w:t>
      </w:r>
    </w:p>
    <w:p w14:paraId="57DF251E" w14:textId="22AC4F08" w:rsidR="006C4A87" w:rsidRDefault="005908B6" w:rsidP="00661644">
      <w:pPr>
        <w:spacing w:line="360" w:lineRule="auto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5F103B08" w14:textId="77777777" w:rsidR="006C4A87" w:rsidRDefault="006C4A87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269FE490" w:rsidR="002C5B2E" w:rsidRDefault="0025467A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0761549E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9C5090">
        <w:rPr>
          <w:rFonts w:eastAsiaTheme="minorHAnsi"/>
          <w:iCs/>
          <w:sz w:val="22"/>
          <w:szCs w:val="22"/>
          <w:lang w:eastAsia="en-US"/>
        </w:rPr>
        <w:t>Monika Matowska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8D42" w14:textId="77777777" w:rsidR="007C3A88" w:rsidRDefault="007C3A88" w:rsidP="00382980">
      <w:r>
        <w:separator/>
      </w:r>
    </w:p>
  </w:endnote>
  <w:endnote w:type="continuationSeparator" w:id="0">
    <w:p w14:paraId="6431925B" w14:textId="77777777" w:rsidR="007C3A88" w:rsidRDefault="007C3A88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EECF" w14:textId="77777777" w:rsidR="007C3A88" w:rsidRDefault="007C3A88" w:rsidP="00382980">
      <w:r>
        <w:separator/>
      </w:r>
    </w:p>
  </w:footnote>
  <w:footnote w:type="continuationSeparator" w:id="0">
    <w:p w14:paraId="6F7B0D00" w14:textId="77777777" w:rsidR="007C3A88" w:rsidRDefault="007C3A88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357A7"/>
    <w:rsid w:val="000448F6"/>
    <w:rsid w:val="00047446"/>
    <w:rsid w:val="000526DB"/>
    <w:rsid w:val="00061960"/>
    <w:rsid w:val="00064BD0"/>
    <w:rsid w:val="000653C4"/>
    <w:rsid w:val="0007623A"/>
    <w:rsid w:val="000876E0"/>
    <w:rsid w:val="000A1CC8"/>
    <w:rsid w:val="000C040B"/>
    <w:rsid w:val="000C34BA"/>
    <w:rsid w:val="000D1377"/>
    <w:rsid w:val="000D7206"/>
    <w:rsid w:val="00100616"/>
    <w:rsid w:val="00120ECE"/>
    <w:rsid w:val="00127F5C"/>
    <w:rsid w:val="00145B8F"/>
    <w:rsid w:val="0015187C"/>
    <w:rsid w:val="00151F41"/>
    <w:rsid w:val="00175A54"/>
    <w:rsid w:val="00181AFE"/>
    <w:rsid w:val="001849F0"/>
    <w:rsid w:val="00187692"/>
    <w:rsid w:val="00196D61"/>
    <w:rsid w:val="001A30AF"/>
    <w:rsid w:val="001B0B70"/>
    <w:rsid w:val="001B7FEE"/>
    <w:rsid w:val="001C5574"/>
    <w:rsid w:val="001C6B03"/>
    <w:rsid w:val="001D22AF"/>
    <w:rsid w:val="001D479B"/>
    <w:rsid w:val="001E1182"/>
    <w:rsid w:val="001F3ABF"/>
    <w:rsid w:val="001F3FA5"/>
    <w:rsid w:val="001F67D3"/>
    <w:rsid w:val="00206033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2F61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05B58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577D8"/>
    <w:rsid w:val="0048290F"/>
    <w:rsid w:val="00484F83"/>
    <w:rsid w:val="00485CC2"/>
    <w:rsid w:val="00491477"/>
    <w:rsid w:val="0049210A"/>
    <w:rsid w:val="00495B7C"/>
    <w:rsid w:val="004A63F7"/>
    <w:rsid w:val="004C1858"/>
    <w:rsid w:val="004C1F35"/>
    <w:rsid w:val="004C5D7C"/>
    <w:rsid w:val="004C679C"/>
    <w:rsid w:val="004D66B0"/>
    <w:rsid w:val="004D6A66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67B39"/>
    <w:rsid w:val="00581DBB"/>
    <w:rsid w:val="005908B6"/>
    <w:rsid w:val="005908CA"/>
    <w:rsid w:val="00596D30"/>
    <w:rsid w:val="005A062A"/>
    <w:rsid w:val="005A1506"/>
    <w:rsid w:val="005A498E"/>
    <w:rsid w:val="005B36EF"/>
    <w:rsid w:val="005D58F8"/>
    <w:rsid w:val="005E25F4"/>
    <w:rsid w:val="005E6AF8"/>
    <w:rsid w:val="00604D23"/>
    <w:rsid w:val="00607615"/>
    <w:rsid w:val="00610CFC"/>
    <w:rsid w:val="006126D5"/>
    <w:rsid w:val="00631DED"/>
    <w:rsid w:val="00640249"/>
    <w:rsid w:val="00642814"/>
    <w:rsid w:val="0064624B"/>
    <w:rsid w:val="00661644"/>
    <w:rsid w:val="00661909"/>
    <w:rsid w:val="0066404F"/>
    <w:rsid w:val="00664B36"/>
    <w:rsid w:val="00665AD3"/>
    <w:rsid w:val="0067299C"/>
    <w:rsid w:val="00681894"/>
    <w:rsid w:val="006824B7"/>
    <w:rsid w:val="00682F2E"/>
    <w:rsid w:val="006A4F74"/>
    <w:rsid w:val="006A7756"/>
    <w:rsid w:val="006B3ECD"/>
    <w:rsid w:val="006C4183"/>
    <w:rsid w:val="006C4A87"/>
    <w:rsid w:val="006D486E"/>
    <w:rsid w:val="006D74AA"/>
    <w:rsid w:val="006E1027"/>
    <w:rsid w:val="006E2804"/>
    <w:rsid w:val="006E6BBD"/>
    <w:rsid w:val="006F1A48"/>
    <w:rsid w:val="006F41F2"/>
    <w:rsid w:val="006F563B"/>
    <w:rsid w:val="007005FE"/>
    <w:rsid w:val="007027F8"/>
    <w:rsid w:val="00706F2E"/>
    <w:rsid w:val="0071515A"/>
    <w:rsid w:val="00716982"/>
    <w:rsid w:val="00730ADB"/>
    <w:rsid w:val="007324AE"/>
    <w:rsid w:val="007518B7"/>
    <w:rsid w:val="00755826"/>
    <w:rsid w:val="00765AE3"/>
    <w:rsid w:val="00775BBB"/>
    <w:rsid w:val="007806F4"/>
    <w:rsid w:val="007A24E4"/>
    <w:rsid w:val="007A462C"/>
    <w:rsid w:val="007B1AEC"/>
    <w:rsid w:val="007B41B2"/>
    <w:rsid w:val="007C29D5"/>
    <w:rsid w:val="007C3A88"/>
    <w:rsid w:val="007C4150"/>
    <w:rsid w:val="007D72A1"/>
    <w:rsid w:val="007E11D5"/>
    <w:rsid w:val="007E2921"/>
    <w:rsid w:val="007F2CB7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525D6"/>
    <w:rsid w:val="00852E6D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1EA8"/>
    <w:rsid w:val="008B320B"/>
    <w:rsid w:val="008B41D1"/>
    <w:rsid w:val="008C0EEF"/>
    <w:rsid w:val="008C220E"/>
    <w:rsid w:val="008D5A9A"/>
    <w:rsid w:val="008E11CF"/>
    <w:rsid w:val="008F43AB"/>
    <w:rsid w:val="009013EB"/>
    <w:rsid w:val="00901FA1"/>
    <w:rsid w:val="00904909"/>
    <w:rsid w:val="00907602"/>
    <w:rsid w:val="00922472"/>
    <w:rsid w:val="00952E69"/>
    <w:rsid w:val="009540A5"/>
    <w:rsid w:val="0095418E"/>
    <w:rsid w:val="00954F10"/>
    <w:rsid w:val="009722F7"/>
    <w:rsid w:val="00974390"/>
    <w:rsid w:val="00984309"/>
    <w:rsid w:val="00984A80"/>
    <w:rsid w:val="00985BF5"/>
    <w:rsid w:val="009925BD"/>
    <w:rsid w:val="009931E8"/>
    <w:rsid w:val="009A52BB"/>
    <w:rsid w:val="009B12EA"/>
    <w:rsid w:val="009B4A15"/>
    <w:rsid w:val="009C5090"/>
    <w:rsid w:val="00A047EE"/>
    <w:rsid w:val="00A139B9"/>
    <w:rsid w:val="00A13E17"/>
    <w:rsid w:val="00A15D89"/>
    <w:rsid w:val="00A374DD"/>
    <w:rsid w:val="00A45A69"/>
    <w:rsid w:val="00A60D68"/>
    <w:rsid w:val="00A74EF5"/>
    <w:rsid w:val="00A80918"/>
    <w:rsid w:val="00A81DAC"/>
    <w:rsid w:val="00A86E8D"/>
    <w:rsid w:val="00A90CDF"/>
    <w:rsid w:val="00A9109E"/>
    <w:rsid w:val="00AA20F5"/>
    <w:rsid w:val="00AB7527"/>
    <w:rsid w:val="00AD1A7C"/>
    <w:rsid w:val="00AE4989"/>
    <w:rsid w:val="00AE720B"/>
    <w:rsid w:val="00AF3176"/>
    <w:rsid w:val="00B00517"/>
    <w:rsid w:val="00B01E79"/>
    <w:rsid w:val="00B13267"/>
    <w:rsid w:val="00B17B04"/>
    <w:rsid w:val="00B25805"/>
    <w:rsid w:val="00B25F55"/>
    <w:rsid w:val="00B35159"/>
    <w:rsid w:val="00B4022A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A0F18"/>
    <w:rsid w:val="00BB1BD8"/>
    <w:rsid w:val="00BC142F"/>
    <w:rsid w:val="00BD1823"/>
    <w:rsid w:val="00BD4D3A"/>
    <w:rsid w:val="00BD58E0"/>
    <w:rsid w:val="00BE3C77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760A2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CF1ACA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656BF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6C5A"/>
    <w:rsid w:val="00E078C1"/>
    <w:rsid w:val="00E10610"/>
    <w:rsid w:val="00E215AE"/>
    <w:rsid w:val="00E3049F"/>
    <w:rsid w:val="00E36272"/>
    <w:rsid w:val="00E42CEE"/>
    <w:rsid w:val="00E44AEF"/>
    <w:rsid w:val="00E508C0"/>
    <w:rsid w:val="00E67046"/>
    <w:rsid w:val="00E67F96"/>
    <w:rsid w:val="00E741AB"/>
    <w:rsid w:val="00E865B0"/>
    <w:rsid w:val="00E865CA"/>
    <w:rsid w:val="00E90D10"/>
    <w:rsid w:val="00EA2ED1"/>
    <w:rsid w:val="00EA5A40"/>
    <w:rsid w:val="00EB4136"/>
    <w:rsid w:val="00EB7648"/>
    <w:rsid w:val="00EC4953"/>
    <w:rsid w:val="00ED05D5"/>
    <w:rsid w:val="00ED2E26"/>
    <w:rsid w:val="00ED4DC3"/>
    <w:rsid w:val="00ED4EAA"/>
    <w:rsid w:val="00ED51A8"/>
    <w:rsid w:val="00ED5429"/>
    <w:rsid w:val="00EE56FA"/>
    <w:rsid w:val="00EF3E69"/>
    <w:rsid w:val="00F0429B"/>
    <w:rsid w:val="00F04D4E"/>
    <w:rsid w:val="00F07412"/>
    <w:rsid w:val="00F07CB1"/>
    <w:rsid w:val="00F1486F"/>
    <w:rsid w:val="00F1515E"/>
    <w:rsid w:val="00F156C2"/>
    <w:rsid w:val="00F32189"/>
    <w:rsid w:val="00F37A84"/>
    <w:rsid w:val="00F37C96"/>
    <w:rsid w:val="00F42E51"/>
    <w:rsid w:val="00F43AE6"/>
    <w:rsid w:val="00F47470"/>
    <w:rsid w:val="00F51272"/>
    <w:rsid w:val="00F83C37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11</cp:revision>
  <cp:lastPrinted>2022-09-23T09:26:00Z</cp:lastPrinted>
  <dcterms:created xsi:type="dcterms:W3CDTF">2025-06-05T05:40:00Z</dcterms:created>
  <dcterms:modified xsi:type="dcterms:W3CDTF">2025-06-05T06:32:00Z</dcterms:modified>
</cp:coreProperties>
</file>