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04C809C" w14:textId="773F5113" w:rsidR="006050D0" w:rsidRDefault="00476AF9" w:rsidP="00A60CED">
      <w:pPr>
        <w:tabs>
          <w:tab w:val="left" w:pos="-1440"/>
          <w:tab w:val="left" w:pos="-720"/>
          <w:tab w:val="left" w:pos="0"/>
        </w:tabs>
        <w:overflowPunct/>
        <w:autoSpaceDE/>
        <w:autoSpaceDN/>
        <w:adjustRightInd/>
        <w:ind w:firstLine="454"/>
        <w:textAlignment w:val="auto"/>
        <w:rPr>
          <w:rFonts w:eastAsia="Calibri" w:cs="Arial"/>
          <w:b/>
          <w:bCs/>
          <w:spacing w:val="-3"/>
          <w:szCs w:val="22"/>
          <w:lang w:eastAsia="en-US"/>
        </w:rPr>
      </w:pPr>
      <w:r w:rsidRPr="00476AF9">
        <w:rPr>
          <w:rFonts w:eastAsia="Calibri" w:cs="Arial"/>
          <w:b/>
          <w:bCs/>
          <w:spacing w:val="-3"/>
          <w:szCs w:val="22"/>
          <w:lang w:eastAsia="en-US"/>
        </w:rPr>
        <w:t>Droga Wojewódzka nr 272 na odc. Sulnowo - Belno od km 4+085 do km 7+155, dł. 3,070 km</w:t>
      </w:r>
    </w:p>
    <w:p w14:paraId="76B747D2" w14:textId="77777777" w:rsidR="006050D0" w:rsidRPr="00A60CED" w:rsidRDefault="006050D0"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6050D0" w:rsidRPr="00A60CED" w14:paraId="0BDAD36A" w14:textId="77777777" w:rsidTr="00F65CF2">
        <w:trPr>
          <w:jc w:val="center"/>
        </w:trPr>
        <w:tc>
          <w:tcPr>
            <w:tcW w:w="534" w:type="dxa"/>
            <w:shd w:val="clear" w:color="auto" w:fill="auto"/>
          </w:tcPr>
          <w:p w14:paraId="78067E33" w14:textId="77777777"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1</w:t>
            </w:r>
          </w:p>
        </w:tc>
        <w:tc>
          <w:tcPr>
            <w:tcW w:w="1634" w:type="dxa"/>
            <w:shd w:val="clear" w:color="auto" w:fill="BF8F00"/>
          </w:tcPr>
          <w:p w14:paraId="2C247466" w14:textId="26974DFA"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0D9228ED" w14:textId="15973103"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Termoutwardzalne</w:t>
            </w:r>
          </w:p>
        </w:tc>
        <w:tc>
          <w:tcPr>
            <w:tcW w:w="1635" w:type="dxa"/>
            <w:shd w:val="clear" w:color="auto" w:fill="BF8F00"/>
          </w:tcPr>
          <w:p w14:paraId="3B38C498" w14:textId="643FF49D"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Stałe</w:t>
            </w:r>
          </w:p>
        </w:tc>
      </w:tr>
      <w:tr w:rsidR="006050D0" w:rsidRPr="00A60CED" w14:paraId="71D837B0" w14:textId="77777777" w:rsidTr="00F65CF2">
        <w:trPr>
          <w:jc w:val="center"/>
        </w:trPr>
        <w:tc>
          <w:tcPr>
            <w:tcW w:w="534" w:type="dxa"/>
            <w:shd w:val="clear" w:color="auto" w:fill="auto"/>
          </w:tcPr>
          <w:p w14:paraId="64ED34F7" w14:textId="77777777"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2</w:t>
            </w:r>
          </w:p>
        </w:tc>
        <w:tc>
          <w:tcPr>
            <w:tcW w:w="1634" w:type="dxa"/>
            <w:shd w:val="clear" w:color="auto" w:fill="BF8F00"/>
          </w:tcPr>
          <w:p w14:paraId="7B15CF0E" w14:textId="1C8AD236"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PEO</w:t>
            </w:r>
          </w:p>
        </w:tc>
        <w:tc>
          <w:tcPr>
            <w:tcW w:w="1635" w:type="dxa"/>
            <w:shd w:val="clear" w:color="auto" w:fill="BF8F00"/>
          </w:tcPr>
          <w:p w14:paraId="0EB53870" w14:textId="14AF1373"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aluminium</w:t>
            </w:r>
          </w:p>
        </w:tc>
        <w:tc>
          <w:tcPr>
            <w:tcW w:w="1635" w:type="dxa"/>
            <w:shd w:val="clear" w:color="auto" w:fill="BF8F00"/>
          </w:tcPr>
          <w:p w14:paraId="5942C6FA" w14:textId="1B89CE3D" w:rsidR="006050D0" w:rsidRPr="00A60CED" w:rsidRDefault="006050D0" w:rsidP="006050D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Stałe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w:t>
      </w:r>
      <w:r w:rsidRPr="00A60CED">
        <w:lastRenderedPageBreak/>
        <w:t xml:space="preserve">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lastRenderedPageBreak/>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lastRenderedPageBreak/>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lastRenderedPageBreak/>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lastRenderedPageBreak/>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lastRenderedPageBreak/>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lastRenderedPageBreak/>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lastRenderedPageBreak/>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lastRenderedPageBreak/>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lastRenderedPageBreak/>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lastRenderedPageBreak/>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w:t>
      </w:r>
      <w:r w:rsidRPr="00A60CED">
        <w:lastRenderedPageBreak/>
        <w:t xml:space="preserve">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w:t>
      </w:r>
      <w:r w:rsidRPr="00A60CED">
        <w:lastRenderedPageBreak/>
        <w:t xml:space="preserve">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lastRenderedPageBreak/>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lastRenderedPageBreak/>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lastRenderedPageBreak/>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lastRenderedPageBreak/>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lastRenderedPageBreak/>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lastRenderedPageBreak/>
        <w:drawing>
          <wp:inline distT="0" distB="0" distL="0" distR="0" wp14:anchorId="77F9CD86" wp14:editId="0BEBCDB7">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lastRenderedPageBreak/>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C5928" w14:textId="77777777" w:rsidR="00A46327" w:rsidRDefault="00A46327">
      <w:r>
        <w:separator/>
      </w:r>
    </w:p>
  </w:endnote>
  <w:endnote w:type="continuationSeparator" w:id="0">
    <w:p w14:paraId="006E6029" w14:textId="77777777" w:rsidR="00A46327" w:rsidRDefault="00A46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BC0BD" w14:textId="77777777" w:rsidR="00A46327" w:rsidRDefault="00A46327">
      <w:r>
        <w:separator/>
      </w:r>
    </w:p>
  </w:footnote>
  <w:footnote w:type="continuationSeparator" w:id="0">
    <w:p w14:paraId="0EF5A436" w14:textId="77777777" w:rsidR="00A46327" w:rsidRDefault="00A46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6768E"/>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C21D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3F33BE"/>
    <w:rsid w:val="004063F3"/>
    <w:rsid w:val="0041772C"/>
    <w:rsid w:val="0042211E"/>
    <w:rsid w:val="004255EF"/>
    <w:rsid w:val="0042738F"/>
    <w:rsid w:val="00432CC3"/>
    <w:rsid w:val="004347FD"/>
    <w:rsid w:val="004515A7"/>
    <w:rsid w:val="00457180"/>
    <w:rsid w:val="00466113"/>
    <w:rsid w:val="004728F8"/>
    <w:rsid w:val="00474C93"/>
    <w:rsid w:val="00476AF9"/>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050D0"/>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7F79EA"/>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46327"/>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5276"/>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11972</Words>
  <Characters>71838</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4</cp:revision>
  <cp:lastPrinted>2022-02-18T10:14:00Z</cp:lastPrinted>
  <dcterms:created xsi:type="dcterms:W3CDTF">2025-01-24T08:18:00Z</dcterms:created>
  <dcterms:modified xsi:type="dcterms:W3CDTF">2025-02-21T11:19:00Z</dcterms:modified>
</cp:coreProperties>
</file>