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E3FBD" w14:textId="6EC7FDF2" w:rsidR="0025437F" w:rsidRPr="0025437F" w:rsidRDefault="0025437F" w:rsidP="0025437F">
      <w:pPr>
        <w:jc w:val="right"/>
        <w:rPr>
          <w:rFonts w:ascii="Arial Narrow" w:hAnsi="Arial Narrow"/>
          <w:b/>
          <w:bCs/>
        </w:rPr>
      </w:pPr>
      <w:r w:rsidRPr="0025437F">
        <w:rPr>
          <w:rFonts w:ascii="Arial Narrow" w:hAnsi="Arial Narrow"/>
          <w:b/>
          <w:bCs/>
        </w:rPr>
        <w:t>Załącznik nr 2a</w:t>
      </w:r>
    </w:p>
    <w:p w14:paraId="4A27DF74" w14:textId="029EAA0C" w:rsidR="0025437F" w:rsidRPr="0025437F" w:rsidRDefault="0025437F" w:rsidP="0025437F">
      <w:pPr>
        <w:rPr>
          <w:rFonts w:ascii="Arial Narrow" w:hAnsi="Arial Narrow"/>
        </w:rPr>
      </w:pPr>
      <w:r w:rsidRPr="0025437F">
        <w:rPr>
          <w:rFonts w:ascii="Arial Narrow" w:hAnsi="Arial Narrow"/>
        </w:rPr>
        <w:t>............................................................</w:t>
      </w:r>
    </w:p>
    <w:p w14:paraId="76B43144" w14:textId="77777777" w:rsidR="0025437F" w:rsidRPr="0025437F" w:rsidRDefault="0025437F" w:rsidP="0025437F">
      <w:pPr>
        <w:rPr>
          <w:rFonts w:ascii="Arial Narrow" w:hAnsi="Arial Narrow"/>
        </w:rPr>
      </w:pPr>
      <w:r w:rsidRPr="0025437F">
        <w:rPr>
          <w:rFonts w:ascii="Arial Narrow" w:hAnsi="Arial Narrow"/>
        </w:rPr>
        <w:t>............................................................</w:t>
      </w:r>
    </w:p>
    <w:p w14:paraId="2BD5B800" w14:textId="77777777" w:rsidR="0025437F" w:rsidRDefault="0025437F" w:rsidP="0025437F">
      <w:pPr>
        <w:rPr>
          <w:rFonts w:ascii="Arial Narrow" w:hAnsi="Arial Narrow"/>
        </w:rPr>
      </w:pPr>
      <w:r w:rsidRPr="0025437F">
        <w:rPr>
          <w:rFonts w:ascii="Arial Narrow" w:hAnsi="Arial Narrow"/>
        </w:rPr>
        <w:t xml:space="preserve">(zarejestrowana nazwa i adres wykonawcy </w:t>
      </w:r>
    </w:p>
    <w:p w14:paraId="2BC89D08" w14:textId="72FB4943" w:rsidR="0025437F" w:rsidRPr="0025437F" w:rsidRDefault="0025437F" w:rsidP="0025437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lub </w:t>
      </w:r>
      <w:r w:rsidRPr="0025437F">
        <w:rPr>
          <w:rFonts w:ascii="Arial Narrow" w:hAnsi="Arial Narrow"/>
        </w:rPr>
        <w:t>wykonawców wspólnie ubiegających się</w:t>
      </w:r>
    </w:p>
    <w:p w14:paraId="4A3D1957" w14:textId="77777777" w:rsidR="0025437F" w:rsidRPr="0025437F" w:rsidRDefault="0025437F" w:rsidP="0025437F">
      <w:pPr>
        <w:rPr>
          <w:rFonts w:ascii="Arial Narrow" w:hAnsi="Arial Narrow"/>
        </w:rPr>
      </w:pPr>
      <w:r w:rsidRPr="0025437F">
        <w:rPr>
          <w:rFonts w:ascii="Arial Narrow" w:hAnsi="Arial Narrow"/>
        </w:rPr>
        <w:t>o zamówienie)</w:t>
      </w:r>
    </w:p>
    <w:p w14:paraId="254C1E8C" w14:textId="77777777" w:rsidR="0025437F" w:rsidRDefault="0025437F" w:rsidP="0025437F">
      <w:pPr>
        <w:rPr>
          <w:rFonts w:ascii="Arial Narrow" w:hAnsi="Arial Narrow"/>
          <w:b/>
          <w:sz w:val="28"/>
          <w:szCs w:val="28"/>
        </w:rPr>
      </w:pPr>
    </w:p>
    <w:p w14:paraId="54F66330" w14:textId="77777777" w:rsidR="0025437F" w:rsidRDefault="0025437F" w:rsidP="007B6C45">
      <w:pPr>
        <w:jc w:val="center"/>
        <w:rPr>
          <w:rFonts w:ascii="Arial Narrow" w:hAnsi="Arial Narrow"/>
          <w:b/>
          <w:sz w:val="28"/>
          <w:szCs w:val="28"/>
        </w:rPr>
      </w:pPr>
    </w:p>
    <w:p w14:paraId="7E468B4C" w14:textId="743CA0EC" w:rsidR="007B6C45" w:rsidRPr="007B6C45" w:rsidRDefault="007B6C45" w:rsidP="007B6C45">
      <w:pPr>
        <w:jc w:val="center"/>
        <w:rPr>
          <w:rFonts w:ascii="Arial Narrow" w:hAnsi="Arial Narrow"/>
          <w:b/>
          <w:sz w:val="28"/>
          <w:szCs w:val="28"/>
        </w:rPr>
      </w:pPr>
      <w:r w:rsidRPr="007B6C45">
        <w:rPr>
          <w:rFonts w:ascii="Arial Narrow" w:hAnsi="Arial Narrow"/>
          <w:b/>
          <w:sz w:val="28"/>
          <w:szCs w:val="28"/>
        </w:rPr>
        <w:t>Formularz cenowy</w:t>
      </w:r>
    </w:p>
    <w:p w14:paraId="3ECBE0F2" w14:textId="08540729" w:rsidR="007B6C45" w:rsidRDefault="007B6C45" w:rsidP="007B6C45">
      <w:pPr>
        <w:jc w:val="center"/>
        <w:rPr>
          <w:rFonts w:ascii="Arial Narrow" w:hAnsi="Arial Narrow"/>
          <w:b/>
        </w:rPr>
      </w:pPr>
      <w:r w:rsidRPr="007B6C45">
        <w:rPr>
          <w:rFonts w:ascii="Arial Narrow" w:hAnsi="Arial Narrow"/>
          <w:b/>
        </w:rPr>
        <w:t>Konserwacja, utrzymanie i naprawy sygnalizacji świetlnych, znaków aktywnych i oświetlenia drogowego w ciągu w ciągu dróg wojewódzkich na terenie administrowanym przez Zarząd Dróg Wojewódzkich w Opolu w roku 202</w:t>
      </w:r>
      <w:r w:rsidR="007B7F41">
        <w:rPr>
          <w:rFonts w:ascii="Arial Narrow" w:hAnsi="Arial Narrow"/>
          <w:b/>
        </w:rPr>
        <w:t>5</w:t>
      </w:r>
    </w:p>
    <w:p w14:paraId="6E5188B6" w14:textId="392AECD1" w:rsidR="00826472" w:rsidRPr="00561133" w:rsidRDefault="007B6C45" w:rsidP="007B6C45">
      <w:pPr>
        <w:jc w:val="center"/>
        <w:rPr>
          <w:rFonts w:ascii="Arial Narrow" w:hAnsi="Arial Narrow"/>
        </w:rPr>
      </w:pPr>
      <w:r w:rsidRPr="007B6C45">
        <w:rPr>
          <w:rFonts w:ascii="Arial Narrow" w:hAnsi="Arial Narrow"/>
          <w:b/>
        </w:rPr>
        <w:t xml:space="preserve">Oddział Terenowy w </w:t>
      </w:r>
      <w:r>
        <w:rPr>
          <w:rFonts w:ascii="Arial Narrow" w:hAnsi="Arial Narrow"/>
          <w:b/>
        </w:rPr>
        <w:t>Oleśnie</w:t>
      </w:r>
      <w:r w:rsidRPr="007B6C45">
        <w:rPr>
          <w:rFonts w:ascii="Arial Narrow" w:hAnsi="Arial Narrow"/>
          <w:b/>
        </w:rPr>
        <w:t xml:space="preserve"> - </w:t>
      </w:r>
      <w:r w:rsidRPr="00561133">
        <w:rPr>
          <w:rFonts w:ascii="Arial Narrow" w:hAnsi="Arial Narrow"/>
          <w:b/>
        </w:rPr>
        <w:t>zadanie nr 1</w:t>
      </w:r>
    </w:p>
    <w:p w14:paraId="655AF422" w14:textId="77777777" w:rsidR="007B6C45" w:rsidRDefault="007B6C45"/>
    <w:tbl>
      <w:tblPr>
        <w:tblW w:w="1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4717"/>
        <w:gridCol w:w="709"/>
        <w:gridCol w:w="851"/>
        <w:gridCol w:w="992"/>
        <w:gridCol w:w="1276"/>
        <w:gridCol w:w="4052"/>
      </w:tblGrid>
      <w:tr w:rsidR="007B7F41" w14:paraId="6E64867E" w14:textId="77777777" w:rsidTr="007B7F41">
        <w:trPr>
          <w:gridAfter w:val="1"/>
          <w:wAfter w:w="4052" w:type="dxa"/>
          <w:trHeight w:val="300"/>
        </w:trPr>
        <w:tc>
          <w:tcPr>
            <w:tcW w:w="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2766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7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5A1C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Rodzaj naprawy: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A6EF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j. m.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F298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8DE7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4CB34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Wartość netto</w:t>
            </w:r>
          </w:p>
        </w:tc>
      </w:tr>
      <w:tr w:rsidR="007B7F41" w14:paraId="4EDB344D" w14:textId="77777777" w:rsidTr="00FB15C8">
        <w:trPr>
          <w:trHeight w:val="231"/>
        </w:trPr>
        <w:tc>
          <w:tcPr>
            <w:tcW w:w="9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892AD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7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FB6EA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8EE19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30CAC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0EA0949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731774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8021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7B7F41" w14:paraId="34B5581B" w14:textId="77777777" w:rsidTr="007B7F41">
        <w:trPr>
          <w:trHeight w:val="345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3E4C" w14:textId="77777777" w:rsidR="007B7F41" w:rsidRDefault="007B7F4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8A9" w14:textId="77777777" w:rsidR="007B7F41" w:rsidRDefault="007B7F4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F713" w14:textId="77777777" w:rsidR="007B7F41" w:rsidRDefault="007B7F4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58E9" w14:textId="77777777" w:rsidR="007B7F41" w:rsidRDefault="007B7F4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AC7A5" w14:textId="77777777" w:rsidR="007B7F41" w:rsidRDefault="007B7F4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FF72" w14:textId="77777777" w:rsidR="007B7F41" w:rsidRDefault="007B7F4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6=4*5</w:t>
            </w:r>
          </w:p>
        </w:tc>
        <w:tc>
          <w:tcPr>
            <w:tcW w:w="4052" w:type="dxa"/>
            <w:vAlign w:val="center"/>
            <w:hideMark/>
          </w:tcPr>
          <w:p w14:paraId="4B19B804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4754DEBD" w14:textId="77777777" w:rsidTr="007B7F41">
        <w:trPr>
          <w:trHeight w:val="405"/>
        </w:trPr>
        <w:tc>
          <w:tcPr>
            <w:tcW w:w="94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C01D7CE" w14:textId="77777777" w:rsidR="007B7F41" w:rsidRDefault="007B7F41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Część I - Konserwacja, przeglądy</w:t>
            </w:r>
          </w:p>
        </w:tc>
        <w:tc>
          <w:tcPr>
            <w:tcW w:w="4052" w:type="dxa"/>
            <w:vAlign w:val="center"/>
            <w:hideMark/>
          </w:tcPr>
          <w:p w14:paraId="5DC0C510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E437B39" w14:textId="77777777" w:rsidTr="007B7F41">
        <w:trPr>
          <w:trHeight w:val="360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D007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66E70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Konserwacja , przegląd i bieżące utrzymanie sygnalizacji świetlnych, znaków aktywnych, oświetlenia oraz inwentaryzacja urządzeń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ACFC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ryczałt za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0168" w14:textId="1A4304D9" w:rsidR="007B7F41" w:rsidRDefault="00AD0D3D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9</w:t>
            </w:r>
            <w:r w:rsidR="007B7F41">
              <w:rPr>
                <w:rFonts w:ascii="Arial Narrow" w:hAnsi="Arial Narrow" w:cs="Calibri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E606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335BD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12519165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65A863E5" w14:textId="77777777" w:rsidTr="007B7F41">
        <w:trPr>
          <w:trHeight w:val="37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2800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9A703A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2DF3" w14:textId="5AF5D74B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7F84B2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243BB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BD3713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052" w:type="dxa"/>
            <w:vAlign w:val="center"/>
            <w:hideMark/>
          </w:tcPr>
          <w:p w14:paraId="4EF69B15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08FF425A" w14:textId="77777777" w:rsidTr="007B7F41">
        <w:trPr>
          <w:trHeight w:val="375"/>
        </w:trPr>
        <w:tc>
          <w:tcPr>
            <w:tcW w:w="82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D3E48" w14:textId="77777777" w:rsidR="007B7F41" w:rsidRDefault="007B7F41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Razem wartość netto Cz. I - Konserwacja, przeglądy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B0DD2" w14:textId="77777777" w:rsidR="007B7F41" w:rsidRDefault="007B7F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4BEE1DEF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771175A9" w14:textId="77777777" w:rsidTr="007B7F41">
        <w:trPr>
          <w:trHeight w:val="435"/>
        </w:trPr>
        <w:tc>
          <w:tcPr>
            <w:tcW w:w="94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3A13915" w14:textId="77777777" w:rsidR="007B7F41" w:rsidRDefault="007B7F41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Część II - Naprawy - wymiana oznakowania</w:t>
            </w:r>
          </w:p>
        </w:tc>
        <w:tc>
          <w:tcPr>
            <w:tcW w:w="4052" w:type="dxa"/>
            <w:vAlign w:val="center"/>
            <w:hideMark/>
          </w:tcPr>
          <w:p w14:paraId="1B17B1EC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5E32E92" w14:textId="77777777" w:rsidTr="007B7F41">
        <w:trPr>
          <w:trHeight w:val="330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C6CF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DB20" w14:textId="77777777" w:rsidR="007B7F41" w:rsidRDefault="007B7F41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Wymiana  znaku aktywny D-6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3210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8F0A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E5CF6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0F32D" w14:textId="77777777" w:rsidR="007B7F41" w:rsidRDefault="007B7F41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2D2DECD3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38271825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5A9D" w14:textId="297D11A5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EFF4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akumulatora żelowego 12V/118Ah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695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FDB3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1C9B7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5CD9F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4F2E23FA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4317E09B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139D" w14:textId="21C49CF4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5584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akumulatora żelowego 12V/68Ah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5682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A3DB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DA7F4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199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55C008A1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D7C126A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58C3" w14:textId="454E4589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DC3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akumulatora żelowego 12V/22Ah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571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F16E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AE319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723A1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219EA065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7A8936F3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5089" w14:textId="18CD7F52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5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846B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solarnego ładowania akumulatorów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BF08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EA7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5CA53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F9D27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55ECDA8D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7C63D144" w14:textId="77777777" w:rsidTr="007B7F41">
        <w:trPr>
          <w:trHeight w:val="525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0CFB" w14:textId="48094A92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D98B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stycznika 3 fazowego sterującego oświetleniem ulicznym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39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A713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B4C5C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D31B4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6478766B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FF0883B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1B36" w14:textId="09D52EFA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7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A3AF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zegara astronomicznego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4BD6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33B8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31805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7386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6C85B152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AB08DD7" w14:textId="77777777" w:rsidTr="007B7F41">
        <w:trPr>
          <w:trHeight w:val="345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1993" w14:textId="091D61AF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8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E396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latarni-słupa oświetleniowego (9m)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BA65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AAC7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2E7852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ACE7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575E60B3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0C752EC9" w14:textId="77777777" w:rsidTr="007B7F41">
        <w:trPr>
          <w:trHeight w:val="51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50A4" w14:textId="00CEAEBE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9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6DC1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Wymiana źródła światła LED do oświetlenia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solarno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hybrydowego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7E93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91CF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9AC2F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F55D3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15FC55D3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11F3693" w14:textId="77777777" w:rsidTr="007B7F41">
        <w:trPr>
          <w:trHeight w:val="465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922A" w14:textId="1E48B1F9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</w:t>
            </w:r>
            <w:r w:rsidR="00AD0D3D">
              <w:rPr>
                <w:rFonts w:ascii="Arial Narrow" w:hAnsi="Arial Narrow" w:cs="Calibri"/>
                <w:sz w:val="18"/>
                <w:szCs w:val="18"/>
              </w:rPr>
              <w:t>0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111F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przycisku dla pieszych (wandaloodpornego) z przełącznikiem mechanicznym z potwierdzeniem optycznym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D77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8862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11DB9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E217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68E5C0B8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4888003B" w14:textId="77777777" w:rsidTr="007B7F41">
        <w:trPr>
          <w:trHeight w:val="75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762D" w14:textId="69DCBEF0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</w:t>
            </w:r>
            <w:r w:rsidR="00AD0D3D">
              <w:rPr>
                <w:rFonts w:ascii="Arial Narrow" w:hAnsi="Arial Narrow" w:cs="Calibri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6ED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sygnalizatora dźwiękowego (akustycznego) przeznaczonego dla sygnalizacji świetlnych wyposażonych w przyciski dla pieszych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2DC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3F47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556A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AC0BB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36507AE9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6FEEEE73" w14:textId="77777777" w:rsidTr="007B7F41">
        <w:trPr>
          <w:trHeight w:val="330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AB21" w14:textId="1677B5E9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</w:t>
            </w:r>
            <w:r w:rsidR="00AD0D3D">
              <w:rPr>
                <w:rFonts w:ascii="Arial Narrow" w:hAnsi="Arial Narrow" w:cs="Calibri"/>
                <w:sz w:val="18"/>
                <w:szCs w:val="18"/>
              </w:rPr>
              <w:t>2</w:t>
            </w:r>
          </w:p>
        </w:tc>
        <w:tc>
          <w:tcPr>
            <w:tcW w:w="4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E6B6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wkładów LED (3*</w:t>
            </w:r>
            <w:r>
              <w:rPr>
                <w:rFonts w:ascii="Cambria Math" w:hAnsi="Cambria Math" w:cs="Cambria Math"/>
                <w:sz w:val="18"/>
                <w:szCs w:val="18"/>
              </w:rPr>
              <w:t>∅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300) na latarni  sygnałowej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7FCE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B158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3697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B0C7C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50DAAB6A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24E47600" w14:textId="77777777" w:rsidTr="007B7F41">
        <w:trPr>
          <w:trHeight w:val="7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B607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F4F2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CFEA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3225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957BF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E802B2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2501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7B7F41" w14:paraId="5BEB1964" w14:textId="77777777" w:rsidTr="007B7F41">
        <w:trPr>
          <w:trHeight w:val="330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A149" w14:textId="203E6E18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</w:t>
            </w:r>
            <w:r w:rsidR="00AD0D3D">
              <w:rPr>
                <w:rFonts w:ascii="Arial Narrow" w:hAnsi="Arial Narrow" w:cs="Calibri"/>
                <w:sz w:val="18"/>
                <w:szCs w:val="18"/>
              </w:rPr>
              <w:t>3</w:t>
            </w:r>
          </w:p>
        </w:tc>
        <w:tc>
          <w:tcPr>
            <w:tcW w:w="4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4BB5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wkładów LED (2*</w:t>
            </w:r>
            <w:r>
              <w:rPr>
                <w:rFonts w:ascii="Cambria Math" w:hAnsi="Cambria Math" w:cs="Cambria Math"/>
                <w:sz w:val="18"/>
                <w:szCs w:val="18"/>
              </w:rPr>
              <w:t>∅</w:t>
            </w:r>
            <w:r>
              <w:rPr>
                <w:rFonts w:ascii="Arial Narrow" w:hAnsi="Arial Narrow" w:cs="Calibri"/>
                <w:sz w:val="18"/>
                <w:szCs w:val="18"/>
              </w:rPr>
              <w:t>200) na latarni sygna</w:t>
            </w:r>
            <w:r>
              <w:rPr>
                <w:rFonts w:ascii="Arial Narrow" w:hAnsi="Arial Narrow" w:cs="Arial Narrow"/>
                <w:sz w:val="18"/>
                <w:szCs w:val="18"/>
              </w:rPr>
              <w:t>ł</w:t>
            </w:r>
            <w:r>
              <w:rPr>
                <w:rFonts w:ascii="Arial Narrow" w:hAnsi="Arial Narrow" w:cs="Calibri"/>
                <w:sz w:val="18"/>
                <w:szCs w:val="18"/>
              </w:rPr>
              <w:t>owej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1EAC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5DA3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46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3DFA1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31671DB3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0140ADCD" w14:textId="77777777" w:rsidTr="007B7F41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0876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8FB9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ABE2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7EAB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48B15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3187061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2B95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7B7F41" w14:paraId="7E0032F2" w14:textId="77777777" w:rsidTr="007B7F41">
        <w:trPr>
          <w:trHeight w:val="51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4D91" w14:textId="58CC83F1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</w:t>
            </w:r>
            <w:r w:rsidR="00AD0D3D">
              <w:rPr>
                <w:rFonts w:ascii="Arial Narrow" w:hAnsi="Arial Narrow" w:cs="Calibri"/>
                <w:sz w:val="18"/>
                <w:szCs w:val="18"/>
              </w:rPr>
              <w:t>4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8114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latarni sygnałowej LED bez wkładów LED, bez przycisku dla pieszych i sygnalizatora dźwiękowego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B399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AFC6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A2BC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F2E65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65D380C7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6B4FA590" w14:textId="77777777" w:rsidTr="007B7F41">
        <w:trPr>
          <w:trHeight w:val="495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7A41" w14:textId="41E688E2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15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F1B2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latarni sygnałowej ‘Szubienica” bez wkładów LED, przycisku dla pieszych i sygnalizatora dźwiękowego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0A97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  szt.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FCE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FE12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E1CF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378B051B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0A6B893B" w14:textId="77777777" w:rsidTr="00BD1F6E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6D76" w14:textId="768D5E62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16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344A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kamery detekcji ruchu AUTOSCOPE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CE5B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 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39DE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2FE6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749FB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60ADE65E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7197CCF2" w14:textId="77777777" w:rsidTr="00BD1F6E">
        <w:trPr>
          <w:trHeight w:val="525"/>
        </w:trPr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512F" w14:textId="2355B207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lastRenderedPageBreak/>
              <w:t>17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4D1E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Montaż włazu żeliwnego studzienki kablowej – właz T15 DW ( usługa wraz z materiałem)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57F5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26C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C57EF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50E8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65EA8907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62D5EE4B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6655" w14:textId="3957ECE3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18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C5FC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Montaż tablicy DFS w nowej lokalizacji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3F19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60CD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B4D3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E58C1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487F9DCF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4BA8ED71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9E8B" w14:textId="1D3BDFD4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19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188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kamer internetowych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F1AC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2C46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25CA2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89F92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103E9363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64BA9DB1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E0D6" w14:textId="1E62EF70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</w:t>
            </w:r>
            <w:r w:rsidR="00AD0D3D">
              <w:rPr>
                <w:rFonts w:ascii="Arial Narrow" w:hAnsi="Arial Narrow" w:cs="Calibri"/>
                <w:sz w:val="18"/>
                <w:szCs w:val="18"/>
              </w:rPr>
              <w:t>0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43F1" w14:textId="77777777" w:rsidR="007B7F41" w:rsidRDefault="007B7F4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Wymiana znaku aktywnego C-9 średni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31FF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B503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28D3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026D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4A4F714E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0028E824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7FC4" w14:textId="0D7422DF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</w:t>
            </w:r>
            <w:r w:rsidR="00AD0D3D">
              <w:rPr>
                <w:rFonts w:ascii="Arial Narrow" w:hAnsi="Arial Narrow" w:cs="Calibri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74B1" w14:textId="77777777" w:rsidR="007B7F41" w:rsidRDefault="007B7F4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Wymiana znaku aktywnego C-9 mały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991E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0689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B286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EA914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7FB93B67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06F2E574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1CE0" w14:textId="42947C70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22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8BFA" w14:textId="77777777" w:rsidR="007B7F41" w:rsidRDefault="007B7F4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Wymiana panelu słonecznego o mocy 300W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BE0E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D676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2943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2B241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24BD22F5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40DE851E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EC29" w14:textId="682494A2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23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E359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latarni-słupa oświetleniowego (6m)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89F2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0717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F910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3B075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4D654395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25DD8D15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A088" w14:textId="4587715D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24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6F07" w14:textId="77777777" w:rsidR="007B7F41" w:rsidRDefault="007B7F4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Wymiana latarni - fundament pod słup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2F7F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C758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5B40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E8FBF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38DD8900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BF143A4" w14:textId="77777777" w:rsidTr="007B7F41">
        <w:trPr>
          <w:trHeight w:val="330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F2D24" w14:textId="4B2FDC77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25</w:t>
            </w:r>
          </w:p>
        </w:tc>
        <w:tc>
          <w:tcPr>
            <w:tcW w:w="4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6BB5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Pozostałe naprawy i usługi serwisowe *).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F058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r-g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5EE5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70,00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6C01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94319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1BEFDCAB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1539349A" w14:textId="77777777" w:rsidTr="007B7F41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BCDB45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C719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Z użyciem podnośnika koszowego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EC89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D3789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84E9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EC168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052" w:type="dxa"/>
            <w:vAlign w:val="center"/>
            <w:hideMark/>
          </w:tcPr>
          <w:p w14:paraId="7A2915E0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39B0E142" w14:textId="77777777" w:rsidTr="007B7F41">
        <w:trPr>
          <w:trHeight w:val="330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A3C618" w14:textId="494E64D5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26</w:t>
            </w:r>
          </w:p>
        </w:tc>
        <w:tc>
          <w:tcPr>
            <w:tcW w:w="4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71DD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Pozostałe naprawy i usługi serwisowe **).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21BF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r-g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7CF9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75,00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151B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86C92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205A0CFC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145518CA" w14:textId="77777777" w:rsidTr="007B7F41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BE8647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41D0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Bez użycia podnośnika koszowego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913E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7D8B5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0161C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11212E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4052" w:type="dxa"/>
            <w:vAlign w:val="center"/>
            <w:hideMark/>
          </w:tcPr>
          <w:p w14:paraId="5532AE49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3D6290A7" w14:textId="77777777" w:rsidTr="007B7F41">
        <w:trPr>
          <w:trHeight w:val="51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B0F0" w14:textId="3E449EF7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27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9978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oprawy LED oświetlenia dedykowanego przejścia dla pieszych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3F7F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E01A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20DC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6373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2E4237C7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720F4575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3BD3" w14:textId="1BBD1701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28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C95E" w14:textId="77777777" w:rsidR="007B7F41" w:rsidRDefault="007B7F41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Wymiana latarni - oprawy LED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127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szt.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0CC2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33F8E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9CC3C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613CBC43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522CEF7C" w14:textId="77777777" w:rsidTr="007B7F41">
        <w:trPr>
          <w:trHeight w:val="33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8A8" w14:textId="182E831A" w:rsidR="007B7F41" w:rsidRDefault="00AD0D3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29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4850" w14:textId="77777777" w:rsidR="007B7F41" w:rsidRDefault="007B7F41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Wymiana aktywnego słupka przeszkodowego U-5a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F264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AB31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2781" w14:textId="77777777" w:rsidR="007B7F41" w:rsidRDefault="007B7F4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25C40" w14:textId="77777777" w:rsidR="007B7F41" w:rsidRDefault="007B7F41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01B9DBAB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70468C82" w14:textId="77777777" w:rsidTr="007B7F41">
        <w:trPr>
          <w:trHeight w:val="375"/>
        </w:trPr>
        <w:tc>
          <w:tcPr>
            <w:tcW w:w="821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C4304" w14:textId="77777777" w:rsidR="007B7F41" w:rsidRDefault="007B7F41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Razem wartość netto Część II - Naprawy - wymiana oznakowania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3A834" w14:textId="77777777" w:rsidR="007B7F41" w:rsidRDefault="007B7F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2CE88BC3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303A9D2F" w14:textId="77777777" w:rsidTr="007B7F41">
        <w:trPr>
          <w:trHeight w:val="375"/>
        </w:trPr>
        <w:tc>
          <w:tcPr>
            <w:tcW w:w="82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93ACE" w14:textId="77777777" w:rsidR="007B7F41" w:rsidRDefault="007B7F41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Razem wartość netto Część I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1DA1B" w14:textId="77777777" w:rsidR="007B7F41" w:rsidRDefault="007B7F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003945E2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6BAF6DF7" w14:textId="77777777" w:rsidTr="007B7F41">
        <w:trPr>
          <w:trHeight w:val="345"/>
        </w:trPr>
        <w:tc>
          <w:tcPr>
            <w:tcW w:w="82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CE2C0" w14:textId="77777777" w:rsidR="007B7F41" w:rsidRDefault="007B7F41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Podatek VAT 23%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3BD56" w14:textId="77777777" w:rsidR="007B7F41" w:rsidRDefault="007B7F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1B036110" w14:textId="77777777" w:rsidR="007B7F41" w:rsidRDefault="007B7F41">
            <w:pPr>
              <w:rPr>
                <w:sz w:val="20"/>
                <w:szCs w:val="20"/>
              </w:rPr>
            </w:pPr>
          </w:p>
        </w:tc>
      </w:tr>
      <w:tr w:rsidR="007B7F41" w14:paraId="7F88337E" w14:textId="77777777" w:rsidTr="007B7F41">
        <w:trPr>
          <w:trHeight w:val="345"/>
        </w:trPr>
        <w:tc>
          <w:tcPr>
            <w:tcW w:w="82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A7DB0" w14:textId="77777777" w:rsidR="007B7F41" w:rsidRDefault="007B7F41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Razem wartość 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A493" w14:textId="77777777" w:rsidR="007B7F41" w:rsidRDefault="007B7F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2" w:type="dxa"/>
            <w:vAlign w:val="center"/>
            <w:hideMark/>
          </w:tcPr>
          <w:p w14:paraId="153A7ADD" w14:textId="77777777" w:rsidR="007B7F41" w:rsidRDefault="007B7F41">
            <w:pPr>
              <w:rPr>
                <w:sz w:val="20"/>
                <w:szCs w:val="20"/>
              </w:rPr>
            </w:pPr>
          </w:p>
        </w:tc>
      </w:tr>
    </w:tbl>
    <w:p w14:paraId="2CD3C7E5" w14:textId="77777777" w:rsidR="007B6C45" w:rsidRDefault="007B6C45"/>
    <w:p w14:paraId="31843C62" w14:textId="77777777" w:rsidR="007B6C45" w:rsidRPr="00C7443E" w:rsidRDefault="007B6C45" w:rsidP="007B6C45">
      <w:pPr>
        <w:ind w:left="142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*  Inne czynności naprawcze i usługi serwisowe nie wymienione w części I lub II będą rozliczane na jako suma kosztów robocizny ( liczonej jako iloczyn ilości roboczogodzin i stawki ) i materiałów użytych do tych czynności . Ze względu na brak możliwości przewidzenia zakresu „Pozostałych napraw i usług konserwacyjnych” , a przede wszystkim czasochłonności i niezbędnych materiałów i części założono dla potrzeb ustalenia ceny ofertowej i umownej:</w:t>
      </w:r>
    </w:p>
    <w:p w14:paraId="390D5C7C" w14:textId="77777777" w:rsidR="007B6C45" w:rsidRPr="00C7443E" w:rsidRDefault="007B6C45" w:rsidP="007B6C45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- orientacyjna ilość roboczogodzin  - 120</w:t>
      </w:r>
    </w:p>
    <w:p w14:paraId="50A1D591" w14:textId="77777777" w:rsidR="007B6C45" w:rsidRPr="00C7443E" w:rsidRDefault="007B6C45" w:rsidP="007B6C45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 xml:space="preserve">- orientacyjna wartość materiałów i części  - równa wartości robocizny  </w:t>
      </w:r>
    </w:p>
    <w:p w14:paraId="6B8AF151" w14:textId="77777777" w:rsidR="007B6C45" w:rsidRPr="00C7443E" w:rsidRDefault="007B6C45" w:rsidP="007B6C45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1)   Stawka roboczogodziny jest stawką brutto, która uwzględnia wszelkie podatki, narzuty, koszty ogólne i pośrednie oraz zysk. Ilość 120 roboczogodzin ustalono szacunkowo</w:t>
      </w:r>
    </w:p>
    <w:p w14:paraId="4C58A1DE" w14:textId="77777777" w:rsidR="007B6C45" w:rsidRPr="00C7443E" w:rsidRDefault="007B6C45" w:rsidP="007B6C45">
      <w:pPr>
        <w:ind w:left="142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**  Inne czynności naprawcze i usługi serwisowe nie wymienione w części I lub II będą rozliczane na jako suma kosztów robocizny ( liczonej jako iloczyn ilości roboczogodzin i stawki ) i materiałów użytych do tych czynności . Ze względu na brak możliwości przewidzenia zakresu „Pozostałych napraw i usług konserwacyjnych” , a przede wszystkim czasochłonności i niezbędnych materiałów i części założono dla potrzeb ustalenia ceny ofertowej i umownej:</w:t>
      </w:r>
    </w:p>
    <w:p w14:paraId="7F469BC9" w14:textId="77777777" w:rsidR="007B6C45" w:rsidRPr="00C7443E" w:rsidRDefault="007B6C45" w:rsidP="007B6C45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- orientacyjna ilość roboczogodzin  - 60</w:t>
      </w:r>
    </w:p>
    <w:p w14:paraId="52D35B90" w14:textId="77777777" w:rsidR="007B6C45" w:rsidRPr="00C7443E" w:rsidRDefault="007B6C45" w:rsidP="007B6C45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 xml:space="preserve">- orientacyjna wartość materiałów i części  - równa wartości robocizny  </w:t>
      </w:r>
    </w:p>
    <w:p w14:paraId="116C92BC" w14:textId="77777777" w:rsidR="007B6C45" w:rsidRPr="00C7443E" w:rsidRDefault="007B6C45" w:rsidP="007B6C45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1)   Stawka roboczogodziny jest stawką brutto, która uwzględnia wszelkie podatki, narzuty, koszty ogólne i pośrednie oraz zysk. Ilość 60 roboczogodzin ustalono szacunkowo</w:t>
      </w:r>
    </w:p>
    <w:p w14:paraId="7C966A98" w14:textId="77777777" w:rsidR="007B6C45" w:rsidRDefault="007B6C45"/>
    <w:p w14:paraId="5FCA04E8" w14:textId="77777777" w:rsidR="00FB15C8" w:rsidRPr="0025437F" w:rsidRDefault="00FB15C8" w:rsidP="00FB15C8">
      <w:pPr>
        <w:ind w:left="5670"/>
        <w:jc w:val="center"/>
        <w:rPr>
          <w:rFonts w:ascii="Arial Narrow" w:hAnsi="Arial Narrow"/>
          <w:sz w:val="18"/>
          <w:szCs w:val="18"/>
        </w:rPr>
      </w:pPr>
      <w:r w:rsidRPr="0025437F">
        <w:rPr>
          <w:rFonts w:ascii="Arial Narrow" w:hAnsi="Arial Narrow"/>
          <w:sz w:val="18"/>
          <w:szCs w:val="18"/>
        </w:rPr>
        <w:t>…………………………………..</w:t>
      </w:r>
    </w:p>
    <w:p w14:paraId="642B25D3" w14:textId="77777777" w:rsidR="00FB15C8" w:rsidRPr="0025437F" w:rsidRDefault="00FB15C8" w:rsidP="00FB15C8">
      <w:pPr>
        <w:ind w:left="5670"/>
        <w:jc w:val="center"/>
        <w:rPr>
          <w:rFonts w:ascii="Arial Narrow" w:hAnsi="Arial Narrow"/>
          <w:sz w:val="18"/>
          <w:szCs w:val="18"/>
        </w:rPr>
      </w:pPr>
      <w:r w:rsidRPr="0025437F">
        <w:rPr>
          <w:rFonts w:ascii="Arial Narrow" w:hAnsi="Arial Narrow"/>
          <w:sz w:val="18"/>
          <w:szCs w:val="18"/>
        </w:rPr>
        <w:t>(należy podpisać kwalifikowanym podpisem elektronicznym/</w:t>
      </w:r>
    </w:p>
    <w:p w14:paraId="6656FEEB" w14:textId="77777777" w:rsidR="00FB15C8" w:rsidRPr="0025437F" w:rsidRDefault="00FB15C8" w:rsidP="00FB15C8">
      <w:pPr>
        <w:ind w:left="5670"/>
        <w:jc w:val="center"/>
        <w:rPr>
          <w:rFonts w:ascii="Arial Narrow" w:hAnsi="Arial Narrow"/>
          <w:sz w:val="18"/>
          <w:szCs w:val="18"/>
        </w:rPr>
      </w:pPr>
      <w:r w:rsidRPr="0025437F">
        <w:rPr>
          <w:rFonts w:ascii="Arial Narrow" w:hAnsi="Arial Narrow"/>
          <w:sz w:val="18"/>
          <w:szCs w:val="18"/>
        </w:rPr>
        <w:t>podpisem zaufanym/podpisem osobistym przez wykonawcę lub pełnomocnika)</w:t>
      </w:r>
    </w:p>
    <w:p w14:paraId="33D8BB86" w14:textId="77777777" w:rsidR="00FB15C8" w:rsidRPr="007B6C45" w:rsidRDefault="00FB15C8"/>
    <w:sectPr w:rsidR="00FB15C8" w:rsidRPr="007B6C45" w:rsidSect="00FB15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C45"/>
    <w:rsid w:val="00197776"/>
    <w:rsid w:val="002307AE"/>
    <w:rsid w:val="0025437F"/>
    <w:rsid w:val="003F1C4A"/>
    <w:rsid w:val="00561133"/>
    <w:rsid w:val="005804A2"/>
    <w:rsid w:val="00672588"/>
    <w:rsid w:val="0071501A"/>
    <w:rsid w:val="007B6C45"/>
    <w:rsid w:val="007B7F41"/>
    <w:rsid w:val="00826472"/>
    <w:rsid w:val="00833C45"/>
    <w:rsid w:val="00957462"/>
    <w:rsid w:val="00AD0D3D"/>
    <w:rsid w:val="00B64DF4"/>
    <w:rsid w:val="00BD1F6E"/>
    <w:rsid w:val="00CD6702"/>
    <w:rsid w:val="00D36860"/>
    <w:rsid w:val="00D7687C"/>
    <w:rsid w:val="00F11082"/>
    <w:rsid w:val="00FB07EA"/>
    <w:rsid w:val="00FB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E9D5D"/>
  <w15:chartTrackingRefBased/>
  <w15:docId w15:val="{E558E8D9-E835-4DD9-8597-88AB6FE3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702"/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D6702"/>
    <w:pPr>
      <w:keepNext/>
      <w:jc w:val="right"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D6702"/>
    <w:pPr>
      <w:keepNext/>
      <w:ind w:right="-567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CD6702"/>
    <w:pPr>
      <w:keepNext/>
      <w:ind w:left="993" w:right="-567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CD6702"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CD6702"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CD6702"/>
    <w:pPr>
      <w:keepNext/>
      <w:jc w:val="center"/>
      <w:outlineLvl w:val="5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D6702"/>
    <w:rPr>
      <w:b/>
      <w:bCs/>
      <w:sz w:val="28"/>
    </w:rPr>
  </w:style>
  <w:style w:type="character" w:customStyle="1" w:styleId="Nagwek2Znak">
    <w:name w:val="Nagłówek 2 Znak"/>
    <w:basedOn w:val="Domylnaczcionkaakapitu"/>
    <w:link w:val="Nagwek2"/>
    <w:rsid w:val="00CD6702"/>
    <w:rPr>
      <w:sz w:val="24"/>
      <w:szCs w:val="24"/>
    </w:rPr>
  </w:style>
  <w:style w:type="character" w:customStyle="1" w:styleId="Nagwek3Znak">
    <w:name w:val="Nagłówek 3 Znak"/>
    <w:link w:val="Nagwek3"/>
    <w:rsid w:val="00CD6702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CD6702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D6702"/>
    <w:rPr>
      <w:b/>
      <w:bCs/>
      <w:sz w:val="28"/>
      <w:szCs w:val="24"/>
    </w:rPr>
  </w:style>
  <w:style w:type="character" w:customStyle="1" w:styleId="Nagwek6Znak">
    <w:name w:val="Nagłówek 6 Znak"/>
    <w:link w:val="Nagwek6"/>
    <w:rsid w:val="00CD6702"/>
    <w:rPr>
      <w:b/>
      <w:sz w:val="24"/>
      <w:szCs w:val="24"/>
      <w:u w:val="single"/>
    </w:rPr>
  </w:style>
  <w:style w:type="paragraph" w:styleId="Tytu">
    <w:name w:val="Title"/>
    <w:basedOn w:val="Normalny"/>
    <w:link w:val="TytuZnak"/>
    <w:qFormat/>
    <w:rsid w:val="00CD6702"/>
    <w:pPr>
      <w:spacing w:line="360" w:lineRule="auto"/>
      <w:jc w:val="center"/>
    </w:pPr>
    <w:rPr>
      <w:rFonts w:ascii="Arial" w:hAnsi="Arial" w:cs="Arial"/>
      <w:b/>
      <w:sz w:val="20"/>
    </w:rPr>
  </w:style>
  <w:style w:type="character" w:customStyle="1" w:styleId="TytuZnak">
    <w:name w:val="Tytuł Znak"/>
    <w:link w:val="Tytu"/>
    <w:rsid w:val="00CD6702"/>
    <w:rPr>
      <w:rFonts w:ascii="Arial" w:hAnsi="Arial" w:cs="Arial"/>
      <w:b/>
      <w:szCs w:val="24"/>
    </w:rPr>
  </w:style>
  <w:style w:type="character" w:styleId="Pogrubienie">
    <w:name w:val="Strong"/>
    <w:uiPriority w:val="99"/>
    <w:qFormat/>
    <w:rsid w:val="00CD6702"/>
    <w:rPr>
      <w:b/>
      <w:bCs/>
    </w:rPr>
  </w:style>
  <w:style w:type="paragraph" w:styleId="Akapitzlist">
    <w:name w:val="List Paragraph"/>
    <w:basedOn w:val="Normalny"/>
    <w:uiPriority w:val="99"/>
    <w:qFormat/>
    <w:rsid w:val="00CD67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2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693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Kłonowski</dc:creator>
  <cp:keywords/>
  <dc:description/>
  <cp:lastModifiedBy>Estera Sroka</cp:lastModifiedBy>
  <cp:revision>8</cp:revision>
  <dcterms:created xsi:type="dcterms:W3CDTF">2025-02-07T09:34:00Z</dcterms:created>
  <dcterms:modified xsi:type="dcterms:W3CDTF">2025-02-10T06:55:00Z</dcterms:modified>
</cp:coreProperties>
</file>